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C6CD" w14:textId="77777777" w:rsidR="00344A08" w:rsidRDefault="00344A08">
      <w:pPr>
        <w:pStyle w:val="Nadtitl"/>
      </w:pPr>
    </w:p>
    <w:p w14:paraId="0C0A6AA9" w14:textId="77777777" w:rsidR="00344A08" w:rsidRDefault="00344A08">
      <w:pPr>
        <w:pStyle w:val="Nadtitl"/>
      </w:pPr>
    </w:p>
    <w:p w14:paraId="06AA941D" w14:textId="77777777" w:rsidR="00344A08" w:rsidRDefault="00344A08">
      <w:pPr>
        <w:pStyle w:val="Nadtitl"/>
      </w:pPr>
    </w:p>
    <w:p w14:paraId="5900D149" w14:textId="77777777" w:rsidR="00344A08" w:rsidRDefault="00344A08">
      <w:pPr>
        <w:pStyle w:val="Nadtitl"/>
      </w:pPr>
    </w:p>
    <w:p w14:paraId="0F69B291" w14:textId="77777777" w:rsidR="00344A08" w:rsidRDefault="00344A08"/>
    <w:p w14:paraId="64F41E5E" w14:textId="77777777" w:rsidR="00344A08" w:rsidRDefault="00344A08">
      <w:pPr>
        <w:pStyle w:val="Nadtitl"/>
      </w:pPr>
    </w:p>
    <w:p w14:paraId="043DF71C" w14:textId="77777777" w:rsidR="00344A08" w:rsidRDefault="00344A08">
      <w:pPr>
        <w:pStyle w:val="Nadtitl"/>
      </w:pPr>
      <w:r>
        <w:t xml:space="preserve">2.6.1. ИОНИЗИРУЮЩЕЕ ИЗЛУЧЕНИЕ, </w:t>
      </w:r>
      <w:r>
        <w:br/>
        <w:t>РАДИАЦИОННАЯ БЕЗОПАСНОСТЬ</w:t>
      </w:r>
    </w:p>
    <w:p w14:paraId="583DA36B" w14:textId="77777777" w:rsidR="00344A08" w:rsidRDefault="00344A08">
      <w:pPr>
        <w:pStyle w:val="bodytext"/>
      </w:pPr>
    </w:p>
    <w:p w14:paraId="4FB32D31" w14:textId="77777777" w:rsidR="00344A08" w:rsidRDefault="00344A08">
      <w:pPr>
        <w:pStyle w:val="bodytext"/>
      </w:pPr>
    </w:p>
    <w:p w14:paraId="27D98B2B" w14:textId="77777777" w:rsidR="00344A08" w:rsidRDefault="00344A08">
      <w:pPr>
        <w:pStyle w:val="Titl"/>
        <w:rPr>
          <w:sz w:val="28"/>
        </w:rPr>
      </w:pPr>
      <w:r>
        <w:rPr>
          <w:sz w:val="28"/>
        </w:rPr>
        <w:t>Оценка индивидуальных эффективных доз облучения населения за счет природных источников ионизирующего излучения</w:t>
      </w:r>
    </w:p>
    <w:p w14:paraId="5FBCA658" w14:textId="77777777" w:rsidR="00344A08" w:rsidRDefault="00344A08">
      <w:pPr>
        <w:pStyle w:val="bodytext"/>
        <w:rPr>
          <w:b/>
          <w:sz w:val="18"/>
        </w:rPr>
      </w:pPr>
    </w:p>
    <w:p w14:paraId="634660DF" w14:textId="77777777" w:rsidR="00344A08" w:rsidRDefault="00344A08">
      <w:pPr>
        <w:pStyle w:val="bodytext"/>
        <w:rPr>
          <w:b/>
          <w:sz w:val="18"/>
        </w:rPr>
      </w:pPr>
    </w:p>
    <w:p w14:paraId="1DFF423A" w14:textId="77777777" w:rsidR="00344A08" w:rsidRDefault="00344A08">
      <w:pPr>
        <w:pStyle w:val="Podtitl"/>
      </w:pPr>
      <w:r>
        <w:t>Методические указания</w:t>
      </w:r>
    </w:p>
    <w:p w14:paraId="649C5E2B" w14:textId="77777777" w:rsidR="00344A08" w:rsidRDefault="00344A08">
      <w:pPr>
        <w:pStyle w:val="Podtitl"/>
      </w:pPr>
      <w:r>
        <w:t>МУ 2.6.1.1088—02</w:t>
      </w:r>
    </w:p>
    <w:p w14:paraId="5DD5932D" w14:textId="77777777" w:rsidR="00344A08" w:rsidRDefault="00344A08">
      <w:pPr>
        <w:jc w:val="center"/>
        <w:rPr>
          <w:sz w:val="24"/>
        </w:rPr>
      </w:pPr>
    </w:p>
    <w:p w14:paraId="657C1357" w14:textId="77777777" w:rsidR="00344A08" w:rsidRDefault="00344A08">
      <w:pPr>
        <w:jc w:val="center"/>
        <w:rPr>
          <w:sz w:val="24"/>
        </w:rPr>
      </w:pPr>
    </w:p>
    <w:p w14:paraId="63FEE352" w14:textId="77777777" w:rsidR="00344A08" w:rsidRDefault="00344A08">
      <w:pPr>
        <w:jc w:val="center"/>
        <w:rPr>
          <w:sz w:val="24"/>
        </w:rPr>
      </w:pPr>
    </w:p>
    <w:p w14:paraId="44639E26" w14:textId="77777777" w:rsidR="00344A08" w:rsidRDefault="00344A08">
      <w:pPr>
        <w:jc w:val="center"/>
        <w:rPr>
          <w:sz w:val="24"/>
        </w:rPr>
      </w:pPr>
    </w:p>
    <w:p w14:paraId="3CB6FE15" w14:textId="77777777" w:rsidR="00344A08" w:rsidRDefault="00344A08">
      <w:pPr>
        <w:pStyle w:val="BBK"/>
        <w:spacing w:before="120"/>
      </w:pPr>
      <w:r>
        <w:lastRenderedPageBreak/>
        <w:t>ББК 51.26</w:t>
      </w:r>
    </w:p>
    <w:p w14:paraId="533E4325" w14:textId="77777777" w:rsidR="00344A08" w:rsidRDefault="00344A08">
      <w:pPr>
        <w:pStyle w:val="bodytext"/>
        <w:ind w:firstLine="482"/>
        <w:jc w:val="left"/>
        <w:outlineLvl w:val="0"/>
      </w:pPr>
      <w:r>
        <w:t>О93</w:t>
      </w:r>
    </w:p>
    <w:p w14:paraId="16A2C247" w14:textId="77777777" w:rsidR="00344A08" w:rsidRDefault="00344A08">
      <w:pPr>
        <w:pStyle w:val="AnnotAutor"/>
        <w:tabs>
          <w:tab w:val="left" w:pos="482"/>
          <w:tab w:val="left" w:pos="567"/>
        </w:tabs>
        <w:jc w:val="both"/>
      </w:pPr>
      <w:r>
        <w:t>О93</w:t>
      </w:r>
      <w:r>
        <w:tab/>
      </w:r>
      <w:r>
        <w:rPr>
          <w:b/>
        </w:rPr>
        <w:t>Оценка</w:t>
      </w:r>
      <w:r>
        <w:t xml:space="preserve"> индивидуальных эффективных доз облучения насел</w:t>
      </w:r>
      <w:r>
        <w:t>е</w:t>
      </w:r>
      <w:r>
        <w:t>ния за счет природных источников ионизирующего излучения: Методические указания —М.: Федеральный центр госсанэпи</w:t>
      </w:r>
      <w:r>
        <w:t>д</w:t>
      </w:r>
      <w:r>
        <w:t>надзора Минздрава России, 2002.—22 с.</w:t>
      </w:r>
    </w:p>
    <w:p w14:paraId="7D03DD7B" w14:textId="77777777" w:rsidR="00344A08" w:rsidRDefault="00344A08">
      <w:pPr>
        <w:pStyle w:val="ISBN"/>
        <w:outlineLvl w:val="0"/>
      </w:pPr>
    </w:p>
    <w:p w14:paraId="1854A0A9" w14:textId="77777777" w:rsidR="00344A08" w:rsidRDefault="00344A08">
      <w:pPr>
        <w:pStyle w:val="AnnotText"/>
        <w:spacing w:line="160" w:lineRule="exact"/>
        <w:ind w:right="284" w:firstLine="284"/>
        <w:rPr>
          <w:sz w:val="16"/>
        </w:rPr>
      </w:pPr>
    </w:p>
    <w:p w14:paraId="01A4394F" w14:textId="77777777" w:rsidR="00344A08" w:rsidRDefault="00344A08">
      <w:pPr>
        <w:pStyle w:val="AnnotText"/>
      </w:pPr>
    </w:p>
    <w:p w14:paraId="14372ADF" w14:textId="77777777" w:rsidR="00344A08" w:rsidRDefault="00344A08">
      <w:pPr>
        <w:pStyle w:val="AnnotText"/>
        <w:jc w:val="both"/>
      </w:pPr>
      <w:r>
        <w:t>1. Настоящие методические указания разработаны авторским коллект</w:t>
      </w:r>
      <w:r>
        <w:t>и</w:t>
      </w:r>
      <w:r>
        <w:t>вом: Стамат И. П., Барковский А. Н., Крисюк Э. М. (Федеральный радиол</w:t>
      </w:r>
      <w:r>
        <w:t>о</w:t>
      </w:r>
      <w:r>
        <w:t>гический Центр при Санкт-Петербургском НИИ радиационной гигиены), Иванов С. И., Перминова Г. С., Липатова О. В. (Департамент госсанэпидна</w:t>
      </w:r>
      <w:r>
        <w:t>д</w:t>
      </w:r>
      <w:r>
        <w:t>зора Минздрава Ро</w:t>
      </w:r>
      <w:r>
        <w:t>с</w:t>
      </w:r>
      <w:r>
        <w:t>сии).</w:t>
      </w:r>
    </w:p>
    <w:p w14:paraId="23747612" w14:textId="77777777" w:rsidR="00344A08" w:rsidRDefault="00344A08">
      <w:pPr>
        <w:pStyle w:val="AnnotText"/>
        <w:jc w:val="both"/>
        <w:rPr>
          <w:spacing w:val="2"/>
        </w:rPr>
      </w:pPr>
      <w:r>
        <w:t>2. </w:t>
      </w:r>
      <w:r>
        <w:rPr>
          <w:spacing w:val="2"/>
        </w:rPr>
        <w:t>Утверждены Главным государственным санитарным врачом Росси</w:t>
      </w:r>
      <w:r>
        <w:rPr>
          <w:spacing w:val="2"/>
        </w:rPr>
        <w:t>й</w:t>
      </w:r>
      <w:r>
        <w:rPr>
          <w:spacing w:val="2"/>
        </w:rPr>
        <w:t xml:space="preserve">ской Федерации </w:t>
      </w:r>
      <w:r w:rsidRPr="00ED5E78">
        <w:rPr>
          <w:spacing w:val="2"/>
        </w:rPr>
        <w:t>4</w:t>
      </w:r>
      <w:r>
        <w:rPr>
          <w:spacing w:val="2"/>
        </w:rPr>
        <w:t xml:space="preserve"> января 2002 года. Введены в действие 1 марта 2002 года.</w:t>
      </w:r>
    </w:p>
    <w:p w14:paraId="45E25356" w14:textId="77777777" w:rsidR="00344A08" w:rsidRDefault="00344A08">
      <w:pPr>
        <w:pStyle w:val="AnnotText"/>
      </w:pPr>
      <w:r>
        <w:t>3. Введены впервые.</w:t>
      </w:r>
    </w:p>
    <w:p w14:paraId="16A3F4AE" w14:textId="77777777" w:rsidR="00344A08" w:rsidRDefault="00344A08">
      <w:pPr>
        <w:pStyle w:val="AnnotText"/>
      </w:pPr>
    </w:p>
    <w:p w14:paraId="2AEE7EB2" w14:textId="77777777" w:rsidR="00344A08" w:rsidRDefault="00344A08">
      <w:pPr>
        <w:pStyle w:val="bodytext"/>
        <w:jc w:val="right"/>
        <w:outlineLvl w:val="0"/>
        <w:rPr>
          <w:b/>
          <w:sz w:val="17"/>
        </w:rPr>
      </w:pPr>
      <w:r>
        <w:rPr>
          <w:b/>
          <w:sz w:val="17"/>
        </w:rPr>
        <w:t>ББК 51.26</w:t>
      </w:r>
    </w:p>
    <w:p w14:paraId="1A7F3115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1C8AB1DF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0FD6772E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31A6D7E9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68B5C1F6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1FDEDCAD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43C49850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68140921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63AF2F8C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52BFF1AA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28A6DE80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24B2A2E1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741F4510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6EA960E9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72F7AC46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2298ED59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5FD622CE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350230DF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3019B467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652AA1A4" w14:textId="77777777" w:rsidR="00344A08" w:rsidRDefault="00344A08">
      <w:pPr>
        <w:tabs>
          <w:tab w:val="left" w:pos="2977"/>
        </w:tabs>
        <w:spacing w:line="160" w:lineRule="exact"/>
        <w:jc w:val="center"/>
        <w:rPr>
          <w:sz w:val="16"/>
        </w:rPr>
      </w:pPr>
    </w:p>
    <w:p w14:paraId="2F8802B2" w14:textId="77777777" w:rsidR="00344A08" w:rsidRDefault="00344A08">
      <w:pPr>
        <w:pStyle w:val="ISBN0"/>
      </w:pPr>
    </w:p>
    <w:p w14:paraId="0FDC32A5" w14:textId="77777777" w:rsidR="00344A08" w:rsidRDefault="00344A08">
      <w:pPr>
        <w:pStyle w:val="Copir"/>
        <w:ind w:left="2694"/>
        <w:rPr>
          <w:b/>
        </w:rPr>
      </w:pPr>
      <w:r>
        <w:rPr>
          <w:b/>
        </w:rPr>
        <w:tab/>
        <w:t>© Минздрав России, 2002</w:t>
      </w:r>
    </w:p>
    <w:p w14:paraId="0D8F9E77" w14:textId="77777777" w:rsidR="00344A08" w:rsidRDefault="00344A08">
      <w:pPr>
        <w:pStyle w:val="Copir"/>
        <w:tabs>
          <w:tab w:val="left" w:pos="1276"/>
          <w:tab w:val="left" w:pos="2835"/>
        </w:tabs>
        <w:spacing w:before="0"/>
        <w:ind w:left="2693"/>
        <w:rPr>
          <w:b/>
        </w:rPr>
      </w:pPr>
      <w:r>
        <w:rPr>
          <w:b/>
        </w:rPr>
        <w:tab/>
        <w:t>© Федеральный центр госсанэпиднадзора</w:t>
      </w:r>
      <w:r>
        <w:rPr>
          <w:b/>
        </w:rPr>
        <w:tab/>
        <w:t xml:space="preserve"> Минздрава Ро</w:t>
      </w:r>
      <w:r>
        <w:rPr>
          <w:b/>
        </w:rPr>
        <w:t>с</w:t>
      </w:r>
      <w:r>
        <w:rPr>
          <w:b/>
        </w:rPr>
        <w:t xml:space="preserve">сии, 2002 </w:t>
      </w:r>
    </w:p>
    <w:p w14:paraId="59BEE963" w14:textId="77777777" w:rsidR="00344A08" w:rsidRDefault="00344A08">
      <w:pPr>
        <w:pStyle w:val="Copir"/>
        <w:tabs>
          <w:tab w:val="left" w:pos="1276"/>
          <w:tab w:val="left" w:pos="2835"/>
        </w:tabs>
        <w:spacing w:before="0"/>
        <w:ind w:left="2693"/>
        <w:rPr>
          <w:b/>
        </w:rPr>
        <w:sectPr w:rsidR="00344A08" w:rsidSect="00AC211E">
          <w:footerReference w:type="even" r:id="rId7"/>
          <w:footerReference w:type="default" r:id="rId8"/>
          <w:footerReference w:type="first" r:id="rId9"/>
          <w:type w:val="continuous"/>
          <w:pgSz w:w="8392" w:h="11907" w:code="11"/>
          <w:pgMar w:top="1418" w:right="1077" w:bottom="1418" w:left="1077" w:header="964" w:footer="964" w:gutter="0"/>
          <w:pgNumType w:start="1"/>
          <w:cols w:space="720"/>
          <w:titlePg/>
        </w:sectPr>
      </w:pPr>
    </w:p>
    <w:p w14:paraId="0C0C509D" w14:textId="77777777" w:rsidR="00344A08" w:rsidRDefault="00344A08">
      <w:pPr>
        <w:pStyle w:val="bodytext"/>
        <w:ind w:firstLine="0"/>
        <w:jc w:val="center"/>
        <w:rPr>
          <w:b/>
          <w:sz w:val="22"/>
        </w:rPr>
      </w:pPr>
      <w:r>
        <w:rPr>
          <w:b/>
          <w:sz w:val="22"/>
        </w:rPr>
        <w:lastRenderedPageBreak/>
        <w:t>Содержание</w:t>
      </w:r>
    </w:p>
    <w:p w14:paraId="4F7D3BC0" w14:textId="77777777" w:rsidR="00344A08" w:rsidRDefault="00344A08">
      <w:pPr>
        <w:pStyle w:val="10"/>
        <w:ind w:right="851"/>
      </w:pPr>
      <w:r>
        <w:fldChar w:fldCharType="begin"/>
      </w:r>
      <w:r>
        <w:instrText xml:space="preserve"> TOC \t "Zag_1;1;Zag_pril;1" </w:instrText>
      </w:r>
      <w:r>
        <w:fldChar w:fldCharType="separate"/>
      </w:r>
      <w:r>
        <w:t>1. Область применения</w:t>
      </w:r>
      <w:r>
        <w:tab/>
      </w:r>
      <w:r>
        <w:fldChar w:fldCharType="begin"/>
      </w:r>
      <w:r>
        <w:instrText xml:space="preserve"> PAGEREF _Toc1442109 \h </w:instrText>
      </w:r>
      <w:r>
        <w:fldChar w:fldCharType="separate"/>
      </w:r>
      <w:r>
        <w:t>4</w:t>
      </w:r>
      <w:r>
        <w:fldChar w:fldCharType="end"/>
      </w:r>
    </w:p>
    <w:p w14:paraId="126A0EBE" w14:textId="77777777" w:rsidR="00344A08" w:rsidRDefault="00344A08">
      <w:pPr>
        <w:pStyle w:val="10"/>
        <w:ind w:right="851"/>
      </w:pPr>
      <w:r>
        <w:t>2. Термины и определения</w:t>
      </w:r>
      <w:r>
        <w:tab/>
      </w:r>
      <w:r>
        <w:fldChar w:fldCharType="begin"/>
      </w:r>
      <w:r>
        <w:instrText xml:space="preserve"> PAGEREF _Toc1442110 \h </w:instrText>
      </w:r>
      <w:r>
        <w:fldChar w:fldCharType="separate"/>
      </w:r>
      <w:r>
        <w:t>5</w:t>
      </w:r>
      <w:r>
        <w:fldChar w:fldCharType="end"/>
      </w:r>
    </w:p>
    <w:p w14:paraId="09C44846" w14:textId="77777777" w:rsidR="00344A08" w:rsidRDefault="00344A08">
      <w:pPr>
        <w:pStyle w:val="10"/>
        <w:ind w:right="851"/>
      </w:pPr>
      <w:r>
        <w:t>3. Нормативные ссылки</w:t>
      </w:r>
      <w:r>
        <w:tab/>
      </w:r>
      <w:r>
        <w:fldChar w:fldCharType="begin"/>
      </w:r>
      <w:r>
        <w:instrText xml:space="preserve"> PAGEREF _Toc1442111 \h </w:instrText>
      </w:r>
      <w:r>
        <w:fldChar w:fldCharType="separate"/>
      </w:r>
      <w:r>
        <w:t>6</w:t>
      </w:r>
      <w:r>
        <w:fldChar w:fldCharType="end"/>
      </w:r>
    </w:p>
    <w:p w14:paraId="4A155037" w14:textId="77777777" w:rsidR="00344A08" w:rsidRDefault="00344A08">
      <w:pPr>
        <w:pStyle w:val="10"/>
        <w:ind w:right="851"/>
      </w:pPr>
      <w:r>
        <w:t>4. Общие положения</w:t>
      </w:r>
      <w:r>
        <w:tab/>
      </w:r>
      <w:r>
        <w:fldChar w:fldCharType="begin"/>
      </w:r>
      <w:r>
        <w:instrText xml:space="preserve"> PAGEREF _Toc1442112 \h </w:instrText>
      </w:r>
      <w:r>
        <w:fldChar w:fldCharType="separate"/>
      </w:r>
      <w:r>
        <w:t>6</w:t>
      </w:r>
      <w:r>
        <w:fldChar w:fldCharType="end"/>
      </w:r>
    </w:p>
    <w:p w14:paraId="2EB31CF5" w14:textId="77777777" w:rsidR="00344A08" w:rsidRDefault="00344A08">
      <w:pPr>
        <w:pStyle w:val="10"/>
        <w:ind w:right="709"/>
      </w:pPr>
      <w:r>
        <w:t>5. Определение индивидуальных эффективных доз внешнего облучения населения</w:t>
      </w:r>
      <w:r>
        <w:tab/>
      </w:r>
      <w:r>
        <w:fldChar w:fldCharType="begin"/>
      </w:r>
      <w:r>
        <w:instrText xml:space="preserve"> PAGEREF _Toc1442113 \h </w:instrText>
      </w:r>
      <w:r>
        <w:fldChar w:fldCharType="separate"/>
      </w:r>
      <w:r>
        <w:t>9</w:t>
      </w:r>
      <w:r>
        <w:fldChar w:fldCharType="end"/>
      </w:r>
    </w:p>
    <w:p w14:paraId="286AA7B7" w14:textId="77777777" w:rsidR="00344A08" w:rsidRDefault="00344A08">
      <w:pPr>
        <w:pStyle w:val="10"/>
        <w:ind w:right="709"/>
      </w:pPr>
      <w:r>
        <w:t>6. Определение индивидуальных эффективных доз внутреннего облучения населения за счет изотопов радона и их короткоживущих дочерних продуктов в воздухе</w:t>
      </w:r>
      <w:r>
        <w:tab/>
      </w:r>
      <w:r>
        <w:fldChar w:fldCharType="begin"/>
      </w:r>
      <w:r>
        <w:instrText xml:space="preserve"> PAGEREF _Toc1442114 \h </w:instrText>
      </w:r>
      <w:r>
        <w:fldChar w:fldCharType="separate"/>
      </w:r>
      <w:r>
        <w:t>11</w:t>
      </w:r>
      <w:r>
        <w:fldChar w:fldCharType="end"/>
      </w:r>
    </w:p>
    <w:p w14:paraId="1EB0E09D" w14:textId="77777777" w:rsidR="00344A08" w:rsidRDefault="00344A08">
      <w:pPr>
        <w:pStyle w:val="10"/>
        <w:ind w:right="709"/>
      </w:pPr>
      <w:r>
        <w:rPr>
          <w:spacing w:val="-2"/>
        </w:rPr>
        <w:t xml:space="preserve">7. Определение индивидуальных эффективных доз внутреннего </w:t>
      </w:r>
      <w:r>
        <w:t>облучения населения за счет долгоживущих природных радионуклидов в продуктах питания и питьевой воде</w:t>
      </w:r>
      <w:r>
        <w:tab/>
      </w:r>
      <w:r>
        <w:fldChar w:fldCharType="begin"/>
      </w:r>
      <w:r>
        <w:instrText xml:space="preserve"> PAGEREF _Toc1442115 \h </w:instrText>
      </w:r>
      <w:r>
        <w:fldChar w:fldCharType="separate"/>
      </w:r>
      <w:r>
        <w:t>12</w:t>
      </w:r>
      <w:r>
        <w:fldChar w:fldCharType="end"/>
      </w:r>
    </w:p>
    <w:p w14:paraId="02A5A54E" w14:textId="77777777" w:rsidR="00344A08" w:rsidRDefault="00344A08">
      <w:pPr>
        <w:pStyle w:val="10"/>
        <w:ind w:right="709"/>
      </w:pPr>
      <w:r>
        <w:t>8. Определение индивидуальных эффективных доз внутреннего облучения населения за счет долгоживущих природных радионуклидов в атмосферном воздухе</w:t>
      </w:r>
      <w:r>
        <w:tab/>
      </w:r>
      <w:r>
        <w:fldChar w:fldCharType="begin"/>
      </w:r>
      <w:r>
        <w:instrText xml:space="preserve"> PAGEREF _Toc1442116 \h </w:instrText>
      </w:r>
      <w:r>
        <w:fldChar w:fldCharType="separate"/>
      </w:r>
      <w:r>
        <w:t>14</w:t>
      </w:r>
      <w:r>
        <w:fldChar w:fldCharType="end"/>
      </w:r>
    </w:p>
    <w:p w14:paraId="27C352A4" w14:textId="77777777" w:rsidR="00344A08" w:rsidRDefault="00344A08">
      <w:pPr>
        <w:pStyle w:val="10"/>
        <w:ind w:right="709"/>
      </w:pPr>
      <w:r>
        <w:t>9. Определение суммарной индивидуальной годовой эффективной дозы облучения населения за счет всех природных источников ионизирующего излучения</w:t>
      </w:r>
      <w:r>
        <w:tab/>
      </w:r>
      <w:r>
        <w:fldChar w:fldCharType="begin"/>
      </w:r>
      <w:r>
        <w:instrText xml:space="preserve"> PAGEREF _Toc1442117 \h </w:instrText>
      </w:r>
      <w:r>
        <w:fldChar w:fldCharType="separate"/>
      </w:r>
      <w:r>
        <w:t>15</w:t>
      </w:r>
      <w:r>
        <w:fldChar w:fldCharType="end"/>
      </w:r>
    </w:p>
    <w:p w14:paraId="0B4624FE" w14:textId="77777777" w:rsidR="00344A08" w:rsidRDefault="00344A08">
      <w:pPr>
        <w:pStyle w:val="10"/>
        <w:ind w:right="709"/>
      </w:pPr>
      <w:r>
        <w:t>10. Библиографические данные</w:t>
      </w:r>
      <w:r>
        <w:tab/>
      </w:r>
      <w:r>
        <w:fldChar w:fldCharType="begin"/>
      </w:r>
      <w:r>
        <w:instrText xml:space="preserve"> PAGEREF _Toc1442118 \h </w:instrText>
      </w:r>
      <w:r>
        <w:fldChar w:fldCharType="separate"/>
      </w:r>
      <w:r>
        <w:t>16</w:t>
      </w:r>
      <w:r>
        <w:fldChar w:fldCharType="end"/>
      </w:r>
    </w:p>
    <w:p w14:paraId="1D05CC5D" w14:textId="77777777" w:rsidR="00344A08" w:rsidRDefault="00344A08">
      <w:pPr>
        <w:pStyle w:val="22"/>
      </w:pPr>
      <w:r>
        <w:rPr>
          <w:i/>
        </w:rPr>
        <w:t>Приложение 1</w:t>
      </w:r>
      <w:r>
        <w:t>. Дозовые коэффициенты для отдельных радионуклидов рядов урана и тория при их пероральном поступлении в организм взрослых жит</w:t>
      </w:r>
      <w:r>
        <w:t>е</w:t>
      </w:r>
      <w:r>
        <w:t>лей [5]</w:t>
      </w:r>
      <w:r>
        <w:tab/>
      </w:r>
      <w:r>
        <w:fldChar w:fldCharType="begin"/>
      </w:r>
      <w:r>
        <w:instrText xml:space="preserve"> PAGEREF _Toc1442119 \h </w:instrText>
      </w:r>
      <w:r>
        <w:fldChar w:fldCharType="separate"/>
      </w:r>
      <w:r>
        <w:rPr>
          <w:noProof/>
        </w:rPr>
        <w:t>17</w:t>
      </w:r>
      <w:r>
        <w:fldChar w:fldCharType="end"/>
      </w:r>
    </w:p>
    <w:p w14:paraId="027DC615" w14:textId="77777777" w:rsidR="00344A08" w:rsidRDefault="00344A08">
      <w:pPr>
        <w:pStyle w:val="22"/>
      </w:pPr>
      <w:r>
        <w:rPr>
          <w:i/>
        </w:rPr>
        <w:t>Приложение 1а</w:t>
      </w:r>
      <w:r>
        <w:t xml:space="preserve">. </w:t>
      </w:r>
      <w:r>
        <w:rPr>
          <w:spacing w:val="-2"/>
        </w:rPr>
        <w:t>Дозовые коэффициенты для отдельных радионуклидов</w:t>
      </w:r>
      <w:r>
        <w:t xml:space="preserve"> рядов урана и тория при их пероральном поступлении в организм кр</w:t>
      </w:r>
      <w:r>
        <w:t>и</w:t>
      </w:r>
      <w:r>
        <w:t>тической группы населения [6]</w:t>
      </w:r>
      <w:r>
        <w:tab/>
      </w:r>
      <w:r>
        <w:fldChar w:fldCharType="begin"/>
      </w:r>
      <w:r>
        <w:instrText xml:space="preserve"> PAGEREF _Toc1442120 \h </w:instrText>
      </w:r>
      <w:r>
        <w:fldChar w:fldCharType="separate"/>
      </w:r>
      <w:r>
        <w:rPr>
          <w:noProof/>
        </w:rPr>
        <w:t>18</w:t>
      </w:r>
      <w:r>
        <w:fldChar w:fldCharType="end"/>
      </w:r>
    </w:p>
    <w:p w14:paraId="2E24D33F" w14:textId="77777777" w:rsidR="00344A08" w:rsidRDefault="00344A08">
      <w:pPr>
        <w:pStyle w:val="22"/>
      </w:pPr>
      <w:r>
        <w:rPr>
          <w:i/>
        </w:rPr>
        <w:t>Приложение 2.</w:t>
      </w:r>
      <w:r>
        <w:t xml:space="preserve"> Дозовые коэффициенты для радионуклидов рядов </w:t>
      </w:r>
      <w:r>
        <w:br/>
        <w:t xml:space="preserve">урана и тория при их ингаляционном поступлении </w:t>
      </w:r>
      <w:r>
        <w:br/>
        <w:t>в организм взрослых жителей [6]</w:t>
      </w:r>
      <w:r>
        <w:tab/>
      </w:r>
      <w:r>
        <w:fldChar w:fldCharType="begin"/>
      </w:r>
      <w:r>
        <w:instrText xml:space="preserve"> PAGEREF _Toc1442121 \h </w:instrText>
      </w:r>
      <w:r>
        <w:fldChar w:fldCharType="separate"/>
      </w:r>
      <w:r>
        <w:rPr>
          <w:noProof/>
        </w:rPr>
        <w:t>19</w:t>
      </w:r>
      <w:r>
        <w:fldChar w:fldCharType="end"/>
      </w:r>
    </w:p>
    <w:p w14:paraId="55C8D388" w14:textId="77777777" w:rsidR="00344A08" w:rsidRDefault="00344A08">
      <w:pPr>
        <w:pStyle w:val="22"/>
      </w:pPr>
      <w:r>
        <w:rPr>
          <w:i/>
        </w:rPr>
        <w:t xml:space="preserve">Приложение 3. </w:t>
      </w:r>
      <w:r>
        <w:t xml:space="preserve">Дозовые коэффициенты для радионуклидов рядов </w:t>
      </w:r>
      <w:r>
        <w:br/>
        <w:t>урана и тория при их ингаляционном поступлении в орг</w:t>
      </w:r>
      <w:r>
        <w:t>а</w:t>
      </w:r>
      <w:r>
        <w:t>низм критической группы [6]</w:t>
      </w:r>
      <w:r>
        <w:tab/>
      </w:r>
      <w:r>
        <w:fldChar w:fldCharType="begin"/>
      </w:r>
      <w:r>
        <w:instrText xml:space="preserve"> PAGEREF _Toc1442122 \h </w:instrText>
      </w:r>
      <w:r>
        <w:fldChar w:fldCharType="separate"/>
      </w:r>
      <w:r>
        <w:rPr>
          <w:noProof/>
        </w:rPr>
        <w:t>19</w:t>
      </w:r>
      <w:r>
        <w:fldChar w:fldCharType="end"/>
      </w:r>
    </w:p>
    <w:p w14:paraId="1467E95E" w14:textId="77777777" w:rsidR="00344A08" w:rsidRDefault="00344A08">
      <w:pPr>
        <w:pStyle w:val="22"/>
      </w:pPr>
      <w:r>
        <w:rPr>
          <w:i/>
        </w:rPr>
        <w:t>Приложение 4.</w:t>
      </w:r>
      <w:r>
        <w:t xml:space="preserve"> Составление представительной выборки </w:t>
      </w:r>
      <w:r>
        <w:br/>
        <w:t>обсл</w:t>
      </w:r>
      <w:r>
        <w:t>е</w:t>
      </w:r>
      <w:r>
        <w:t>дуемых жилых зданий</w:t>
      </w:r>
      <w:r>
        <w:tab/>
      </w:r>
      <w:r>
        <w:fldChar w:fldCharType="begin"/>
      </w:r>
      <w:r>
        <w:instrText xml:space="preserve"> PAGEREF _Toc1442123 \h </w:instrText>
      </w:r>
      <w:r>
        <w:fldChar w:fldCharType="separate"/>
      </w:r>
      <w:r>
        <w:rPr>
          <w:noProof/>
        </w:rPr>
        <w:t>19</w:t>
      </w:r>
      <w:r>
        <w:fldChar w:fldCharType="end"/>
      </w:r>
    </w:p>
    <w:p w14:paraId="71707045" w14:textId="77777777" w:rsidR="00344A08" w:rsidRDefault="00344A08">
      <w:pPr>
        <w:pStyle w:val="bodytext"/>
        <w:tabs>
          <w:tab w:val="left" w:pos="3828"/>
        </w:tabs>
        <w:ind w:right="1" w:firstLine="3119"/>
      </w:pPr>
      <w:r>
        <w:rPr>
          <w:sz w:val="18"/>
        </w:rPr>
        <w:fldChar w:fldCharType="end"/>
      </w:r>
      <w:r>
        <w:br w:type="page"/>
      </w:r>
      <w:r>
        <w:lastRenderedPageBreak/>
        <w:tab/>
        <w:t>УТВЕРЖДАЮ</w:t>
      </w:r>
    </w:p>
    <w:p w14:paraId="018FFEF5" w14:textId="77777777" w:rsidR="00344A08" w:rsidRDefault="00344A08">
      <w:pPr>
        <w:pStyle w:val="af0"/>
        <w:ind w:left="3119"/>
      </w:pPr>
      <w:r>
        <w:t xml:space="preserve">Главный государственный санитарный врач Российской Федерации – Первый заместитель Министра здравоохранения Российской Федерации </w:t>
      </w:r>
    </w:p>
    <w:p w14:paraId="0C34A219" w14:textId="77777777" w:rsidR="00344A08" w:rsidRDefault="00344A08">
      <w:pPr>
        <w:pStyle w:val="af0"/>
        <w:ind w:left="3119"/>
        <w:rPr>
          <w:noProof w:val="0"/>
        </w:rPr>
      </w:pPr>
    </w:p>
    <w:p w14:paraId="5A3B4930" w14:textId="77777777" w:rsidR="00344A08" w:rsidRDefault="00344A08">
      <w:pPr>
        <w:pStyle w:val="af0"/>
        <w:ind w:left="3119"/>
        <w:jc w:val="right"/>
      </w:pPr>
      <w:r>
        <w:t>Г. Г. Онищенко</w:t>
      </w:r>
    </w:p>
    <w:p w14:paraId="2F738CF2" w14:textId="77777777" w:rsidR="00344A08" w:rsidRDefault="00344A08">
      <w:pPr>
        <w:pStyle w:val="af0"/>
        <w:ind w:left="3119"/>
        <w:rPr>
          <w:noProof w:val="0"/>
        </w:rPr>
      </w:pPr>
      <w:r w:rsidRPr="00ED5E78">
        <w:rPr>
          <w:noProof w:val="0"/>
        </w:rPr>
        <w:t xml:space="preserve">4 </w:t>
      </w:r>
      <w:r>
        <w:rPr>
          <w:noProof w:val="0"/>
        </w:rPr>
        <w:t>января</w:t>
      </w:r>
      <w:r>
        <w:t xml:space="preserve"> </w:t>
      </w:r>
      <w:smartTag w:uri="urn:schemas-microsoft-com:office:smarttags" w:element="metricconverter">
        <w:smartTagPr>
          <w:attr w:name="ProductID" w:val="2002 г"/>
        </w:smartTagPr>
        <w:r>
          <w:t>200</w:t>
        </w:r>
        <w:r>
          <w:rPr>
            <w:noProof w:val="0"/>
          </w:rPr>
          <w:t>2</w:t>
        </w:r>
        <w:r>
          <w:t xml:space="preserve"> г</w:t>
        </w:r>
      </w:smartTag>
      <w:r>
        <w:t>.</w:t>
      </w:r>
    </w:p>
    <w:p w14:paraId="7EF2DB41" w14:textId="77777777" w:rsidR="00344A08" w:rsidRDefault="00344A08">
      <w:pPr>
        <w:pStyle w:val="af0"/>
        <w:ind w:left="3119"/>
        <w:rPr>
          <w:noProof w:val="0"/>
        </w:rPr>
      </w:pPr>
      <w:r>
        <w:t>МУ 2.6.1.1088—02</w:t>
      </w:r>
    </w:p>
    <w:p w14:paraId="45D2476C" w14:textId="77777777" w:rsidR="00344A08" w:rsidRDefault="00344A08">
      <w:pPr>
        <w:pStyle w:val="af0"/>
        <w:ind w:left="3119"/>
      </w:pPr>
      <w:r>
        <w:t>Дата введ</w:t>
      </w:r>
      <w:r>
        <w:t>е</w:t>
      </w:r>
      <w:r>
        <w:t>ния:</w:t>
      </w:r>
      <w:r>
        <w:rPr>
          <w:noProof w:val="0"/>
        </w:rPr>
        <w:t xml:space="preserve"> </w:t>
      </w:r>
      <w:r>
        <w:t xml:space="preserve">1 </w:t>
      </w:r>
      <w:r>
        <w:rPr>
          <w:noProof w:val="0"/>
        </w:rPr>
        <w:t>марта</w:t>
      </w:r>
      <w:r>
        <w:t xml:space="preserve">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</w:t>
      </w:r>
    </w:p>
    <w:p w14:paraId="2F0AC8FC" w14:textId="77777777" w:rsidR="00344A08" w:rsidRDefault="00344A08">
      <w:pPr>
        <w:pStyle w:val="bodytext"/>
        <w:rPr>
          <w:noProof/>
        </w:rPr>
      </w:pPr>
    </w:p>
    <w:p w14:paraId="4BCD41B7" w14:textId="77777777" w:rsidR="00344A08" w:rsidRDefault="00344A08">
      <w:pPr>
        <w:pStyle w:val="Nadtitl"/>
      </w:pPr>
      <w:r>
        <w:t xml:space="preserve">2.6.1. ИОНИЗИРУЮЩЕЕ ИЗЛУЧЕНИЕ, </w:t>
      </w:r>
      <w:r>
        <w:br/>
        <w:t>РАДИАЦИОННАЯ БЕЗОПАСНОСТЬ</w:t>
      </w:r>
    </w:p>
    <w:p w14:paraId="1C5EDEFA" w14:textId="77777777" w:rsidR="00344A08" w:rsidRDefault="00344A08">
      <w:pPr>
        <w:pStyle w:val="Titl"/>
        <w:spacing w:before="120" w:after="120"/>
        <w:rPr>
          <w:sz w:val="24"/>
        </w:rPr>
      </w:pPr>
      <w:r>
        <w:rPr>
          <w:sz w:val="24"/>
        </w:rPr>
        <w:t xml:space="preserve">Оценка индивидуальных эффективных доз облучения населения за счет природных источников </w:t>
      </w:r>
      <w:r>
        <w:rPr>
          <w:sz w:val="24"/>
        </w:rPr>
        <w:br/>
        <w:t>ионизирующего излучения</w:t>
      </w:r>
    </w:p>
    <w:p w14:paraId="7E9CD9F5" w14:textId="77777777" w:rsidR="00344A08" w:rsidRDefault="00344A08">
      <w:pPr>
        <w:pStyle w:val="Podtitl"/>
      </w:pPr>
      <w:r>
        <w:t xml:space="preserve">Методические указания </w:t>
      </w:r>
    </w:p>
    <w:p w14:paraId="62629499" w14:textId="77777777" w:rsidR="00344A08" w:rsidRDefault="00344A08">
      <w:pPr>
        <w:pStyle w:val="Podtitl"/>
        <w:pBdr>
          <w:bottom w:val="single" w:sz="4" w:space="1" w:color="auto"/>
        </w:pBdr>
        <w:rPr>
          <w:sz w:val="6"/>
        </w:rPr>
      </w:pPr>
    </w:p>
    <w:p w14:paraId="7AEB9083" w14:textId="77777777" w:rsidR="00344A08" w:rsidRDefault="00344A08">
      <w:pPr>
        <w:pStyle w:val="Zag1"/>
      </w:pPr>
      <w:bookmarkStart w:id="0" w:name="_Toc678547"/>
      <w:bookmarkStart w:id="1" w:name="_Toc1442109"/>
      <w:r>
        <w:t>1. Область применения</w:t>
      </w:r>
      <w:bookmarkEnd w:id="0"/>
      <w:bookmarkEnd w:id="1"/>
    </w:p>
    <w:p w14:paraId="3A13F71D" w14:textId="77777777" w:rsidR="00344A08" w:rsidRDefault="00344A08">
      <w:pPr>
        <w:pStyle w:val="bodytext"/>
      </w:pPr>
      <w:r>
        <w:t>1.1. Настоящие методические указания предназначены для опред</w:t>
      </w:r>
      <w:r>
        <w:t>е</w:t>
      </w:r>
      <w:r>
        <w:t>ления индивидуальных годовых эффективных доз облучения населения за счет природных источников ионизирующего излучения в коммунал</w:t>
      </w:r>
      <w:r>
        <w:t>ь</w:t>
      </w:r>
      <w:r>
        <w:t xml:space="preserve">ной сфере для заполнения формы государственного статистического наблюдения «№ 4-ДОЗ». </w:t>
      </w:r>
    </w:p>
    <w:p w14:paraId="2AFBE163" w14:textId="77777777" w:rsidR="00344A08" w:rsidRDefault="00344A08">
      <w:pPr>
        <w:pStyle w:val="bodytext"/>
      </w:pPr>
      <w:r>
        <w:t>Для населения, проживающего на территориях с техногенно изм</w:t>
      </w:r>
      <w:r>
        <w:t>е</w:t>
      </w:r>
      <w:r>
        <w:t>ненным радиационным фоном, вклад радиоактивного загрязнения те</w:t>
      </w:r>
      <w:r>
        <w:t>р</w:t>
      </w:r>
      <w:r>
        <w:t>ритории в суммарные дозы облучения населения должен определяться в соответствии с требованиями специальных метод</w:t>
      </w:r>
      <w:r>
        <w:t>и</w:t>
      </w:r>
      <w:r>
        <w:t>ческих указаний.</w:t>
      </w:r>
    </w:p>
    <w:p w14:paraId="1C02623E" w14:textId="77777777" w:rsidR="00344A08" w:rsidRDefault="00344A08">
      <w:pPr>
        <w:pStyle w:val="bodytext"/>
      </w:pPr>
      <w:r>
        <w:t>1.2. Требованиями настоящих методических указаний следует р</w:t>
      </w:r>
      <w:r>
        <w:t>у</w:t>
      </w:r>
      <w:r>
        <w:t>ководствоваться организациям и предприятиям любой ведомс</w:t>
      </w:r>
      <w:r>
        <w:t>т</w:t>
      </w:r>
      <w:r>
        <w:t>венной принадлежности и формы собственности, выполняющим измерения уровней облучения населения природными источниками и</w:t>
      </w:r>
      <w:r>
        <w:t>з</w:t>
      </w:r>
      <w:r>
        <w:t>лучения.</w:t>
      </w:r>
    </w:p>
    <w:p w14:paraId="227F9EBF" w14:textId="77777777" w:rsidR="00344A08" w:rsidRDefault="00344A08">
      <w:pPr>
        <w:pStyle w:val="bodytext"/>
      </w:pPr>
      <w:r>
        <w:t>1.3. Настоящими методическими указаниями должны руководств</w:t>
      </w:r>
      <w:r>
        <w:t>о</w:t>
      </w:r>
      <w:r>
        <w:t>ваться орг</w:t>
      </w:r>
      <w:r>
        <w:t>а</w:t>
      </w:r>
      <w:r>
        <w:t>ны государственной санитарно-эпидемиологичес</w:t>
      </w:r>
      <w:r>
        <w:softHyphen/>
        <w:t xml:space="preserve">кой службы в субъектах Российской Федерации, осуществляющие сбор первичной </w:t>
      </w:r>
      <w:r>
        <w:lastRenderedPageBreak/>
        <w:t>измерительной информации об уровнях облучения населения приро</w:t>
      </w:r>
      <w:r>
        <w:t>д</w:t>
      </w:r>
      <w:r>
        <w:t>ными источниками излучения, их обработку, вн</w:t>
      </w:r>
      <w:r>
        <w:t>е</w:t>
      </w:r>
      <w:r>
        <w:t>сение в форму «№ 4-ДОЗ» и передачу в Федеральный банк данных.</w:t>
      </w:r>
    </w:p>
    <w:p w14:paraId="14F9BE09" w14:textId="77777777" w:rsidR="00344A08" w:rsidRDefault="00344A08">
      <w:pPr>
        <w:pStyle w:val="Zag1"/>
      </w:pPr>
      <w:bookmarkStart w:id="2" w:name="_Toc1442110"/>
      <w:r>
        <w:t>2. Термины и определения</w:t>
      </w:r>
      <w:bookmarkEnd w:id="2"/>
    </w:p>
    <w:p w14:paraId="4BFC1F08" w14:textId="77777777" w:rsidR="00344A08" w:rsidRDefault="00344A08">
      <w:pPr>
        <w:pStyle w:val="bodytext"/>
        <w:rPr>
          <w:spacing w:val="-6"/>
        </w:rPr>
      </w:pPr>
      <w:r>
        <w:rPr>
          <w:spacing w:val="-6"/>
        </w:rPr>
        <w:t>В дополнение к принятым в НРБ-99 и ОСПОРБ-99 в настоящих мет</w:t>
      </w:r>
      <w:r>
        <w:rPr>
          <w:spacing w:val="-6"/>
        </w:rPr>
        <w:t>о</w:t>
      </w:r>
      <w:r>
        <w:rPr>
          <w:spacing w:val="-6"/>
        </w:rPr>
        <w:t>дических указаниях использованы следующие термины и опред</w:t>
      </w:r>
      <w:r>
        <w:rPr>
          <w:spacing w:val="-6"/>
        </w:rPr>
        <w:t>е</w:t>
      </w:r>
      <w:r>
        <w:rPr>
          <w:spacing w:val="-6"/>
        </w:rPr>
        <w:t>ления:</w:t>
      </w:r>
    </w:p>
    <w:p w14:paraId="223F65DA" w14:textId="77777777" w:rsidR="00344A08" w:rsidRDefault="00344A08">
      <w:pPr>
        <w:pStyle w:val="bodytext"/>
      </w:pPr>
      <w:r w:rsidRPr="00ED5E78">
        <w:t>2</w:t>
      </w:r>
      <w:r>
        <w:t>.</w:t>
      </w:r>
      <w:r w:rsidRPr="00ED5E78">
        <w:t>1.</w:t>
      </w:r>
      <w:r>
        <w:rPr>
          <w:b/>
          <w:lang w:val="en-US"/>
        </w:rPr>
        <w:t> </w:t>
      </w:r>
      <w:r>
        <w:rPr>
          <w:b/>
          <w:i/>
        </w:rPr>
        <w:t>Параметры радиационной обстановки</w:t>
      </w:r>
      <w:r>
        <w:t xml:space="preserve"> – комплекс факторов, определяющих эффективные дозы облучения населения в условиях проживания.</w:t>
      </w:r>
    </w:p>
    <w:p w14:paraId="75331DE8" w14:textId="77777777" w:rsidR="00344A08" w:rsidRDefault="00344A08">
      <w:pPr>
        <w:pStyle w:val="bodytext"/>
      </w:pPr>
      <w:r w:rsidRPr="00ED5E78">
        <w:t>2</w:t>
      </w:r>
      <w:r>
        <w:t>.</w:t>
      </w:r>
      <w:r w:rsidRPr="00ED5E78">
        <w:t>2.</w:t>
      </w:r>
      <w:r>
        <w:rPr>
          <w:b/>
          <w:lang w:val="en-US"/>
        </w:rPr>
        <w:t> </w:t>
      </w:r>
      <w:r>
        <w:rPr>
          <w:b/>
          <w:i/>
        </w:rPr>
        <w:t>Природные радионуклиды</w:t>
      </w:r>
      <w:r>
        <w:t xml:space="preserve"> – радиоактивные элементы рядов урана-238 (</w:t>
      </w:r>
      <w:r>
        <w:rPr>
          <w:vertAlign w:val="superscript"/>
        </w:rPr>
        <w:t>238</w:t>
      </w:r>
      <w:r>
        <w:t>U) и тория-232 (</w:t>
      </w:r>
      <w:r>
        <w:rPr>
          <w:vertAlign w:val="superscript"/>
        </w:rPr>
        <w:t>232</w:t>
      </w:r>
      <w:r>
        <w:t>Th) и к</w:t>
      </w:r>
      <w:r>
        <w:t>а</w:t>
      </w:r>
      <w:r>
        <w:t>лий-40 (</w:t>
      </w:r>
      <w:r>
        <w:rPr>
          <w:vertAlign w:val="superscript"/>
        </w:rPr>
        <w:t>40</w:t>
      </w:r>
      <w:r>
        <w:t>К).</w:t>
      </w:r>
    </w:p>
    <w:p w14:paraId="450F3296" w14:textId="77777777" w:rsidR="00344A08" w:rsidRDefault="00344A08">
      <w:pPr>
        <w:pStyle w:val="bodytext"/>
      </w:pPr>
      <w:r w:rsidRPr="00ED5E78">
        <w:t>2</w:t>
      </w:r>
      <w:r>
        <w:t>.</w:t>
      </w:r>
      <w:r w:rsidRPr="00ED5E78">
        <w:t>3.</w:t>
      </w:r>
      <w:r>
        <w:rPr>
          <w:b/>
          <w:lang w:val="en-US"/>
        </w:rPr>
        <w:t> </w:t>
      </w:r>
      <w:r>
        <w:rPr>
          <w:b/>
          <w:i/>
        </w:rPr>
        <w:t>Природные источники излучения</w:t>
      </w:r>
      <w:r>
        <w:rPr>
          <w:b/>
        </w:rPr>
        <w:t xml:space="preserve"> </w:t>
      </w:r>
      <w:r>
        <w:t>– источники излучения, происхождение которых связано с присутствием природных радиону</w:t>
      </w:r>
      <w:r>
        <w:t>к</w:t>
      </w:r>
      <w:r>
        <w:t>лидов в объектах среды обитания и окружающей среды, а также косм</w:t>
      </w:r>
      <w:r>
        <w:t>и</w:t>
      </w:r>
      <w:r>
        <w:t>ческое излучение.</w:t>
      </w:r>
    </w:p>
    <w:p w14:paraId="73146E25" w14:textId="77777777" w:rsidR="00344A08" w:rsidRDefault="00344A08">
      <w:pPr>
        <w:pStyle w:val="bodytext"/>
        <w:rPr>
          <w:spacing w:val="-4"/>
        </w:rPr>
      </w:pPr>
      <w:r w:rsidRPr="00ED5E78">
        <w:rPr>
          <w:spacing w:val="-4"/>
        </w:rPr>
        <w:t>2</w:t>
      </w:r>
      <w:r>
        <w:rPr>
          <w:spacing w:val="-4"/>
        </w:rPr>
        <w:t>.</w:t>
      </w:r>
      <w:r w:rsidRPr="00ED5E78">
        <w:rPr>
          <w:spacing w:val="-4"/>
        </w:rPr>
        <w:t>4.</w:t>
      </w:r>
      <w:r>
        <w:rPr>
          <w:b/>
          <w:spacing w:val="-4"/>
          <w:lang w:val="en-US"/>
        </w:rPr>
        <w:t> </w:t>
      </w:r>
      <w:r>
        <w:rPr>
          <w:b/>
          <w:i/>
          <w:spacing w:val="-4"/>
        </w:rPr>
        <w:t>Техногенно измененный радиационный фон</w:t>
      </w:r>
      <w:r>
        <w:rPr>
          <w:b/>
          <w:spacing w:val="-4"/>
        </w:rPr>
        <w:t xml:space="preserve"> </w:t>
      </w:r>
      <w:r>
        <w:rPr>
          <w:spacing w:val="-4"/>
        </w:rPr>
        <w:t>– изменение пар</w:t>
      </w:r>
      <w:r>
        <w:rPr>
          <w:spacing w:val="-4"/>
        </w:rPr>
        <w:t>а</w:t>
      </w:r>
      <w:r>
        <w:rPr>
          <w:spacing w:val="-4"/>
        </w:rPr>
        <w:t>метров радиационной обстановки в результате аварий прошлых лет.</w:t>
      </w:r>
    </w:p>
    <w:p w14:paraId="71D2707C" w14:textId="77777777" w:rsidR="00344A08" w:rsidRDefault="00344A08">
      <w:pPr>
        <w:pStyle w:val="bodytext"/>
      </w:pPr>
      <w:r w:rsidRPr="00ED5E78">
        <w:t>2</w:t>
      </w:r>
      <w:r>
        <w:t>.</w:t>
      </w:r>
      <w:r w:rsidRPr="00ED5E78">
        <w:t>5.</w:t>
      </w:r>
      <w:r>
        <w:rPr>
          <w:b/>
          <w:lang w:val="en-US"/>
        </w:rPr>
        <w:t> </w:t>
      </w:r>
      <w:r>
        <w:rPr>
          <w:b/>
          <w:i/>
        </w:rPr>
        <w:t>Изотопы радона</w:t>
      </w:r>
      <w:r>
        <w:rPr>
          <w:b/>
        </w:rPr>
        <w:t xml:space="preserve"> </w:t>
      </w:r>
      <w:r>
        <w:t xml:space="preserve">– </w:t>
      </w:r>
      <w:r>
        <w:rPr>
          <w:vertAlign w:val="superscript"/>
        </w:rPr>
        <w:t>222</w:t>
      </w:r>
      <w:r>
        <w:t xml:space="preserve">Rn (радон) и </w:t>
      </w:r>
      <w:r>
        <w:rPr>
          <w:vertAlign w:val="superscript"/>
        </w:rPr>
        <w:t>220</w:t>
      </w:r>
      <w:r>
        <w:t>Rn – торон.</w:t>
      </w:r>
    </w:p>
    <w:p w14:paraId="31322661" w14:textId="77777777" w:rsidR="00344A08" w:rsidRDefault="00344A08">
      <w:pPr>
        <w:pStyle w:val="bodytext"/>
      </w:pPr>
      <w:r w:rsidRPr="00ED5E78">
        <w:t>2</w:t>
      </w:r>
      <w:r>
        <w:t>.</w:t>
      </w:r>
      <w:r w:rsidRPr="00ED5E78">
        <w:t>6.</w:t>
      </w:r>
      <w:r>
        <w:rPr>
          <w:b/>
          <w:lang w:val="en-US"/>
        </w:rPr>
        <w:t> </w:t>
      </w:r>
      <w:r>
        <w:rPr>
          <w:b/>
          <w:i/>
        </w:rPr>
        <w:t>Короткоживущие дочерние продукты радона (ДПР) и т</w:t>
      </w:r>
      <w:r>
        <w:rPr>
          <w:b/>
          <w:i/>
        </w:rPr>
        <w:t>о</w:t>
      </w:r>
      <w:r>
        <w:rPr>
          <w:b/>
          <w:i/>
        </w:rPr>
        <w:t>рона (ДПТ)</w:t>
      </w:r>
      <w:r>
        <w:rPr>
          <w:b/>
        </w:rPr>
        <w:t xml:space="preserve"> </w:t>
      </w:r>
      <w:r>
        <w:t>– изотопы RаА (</w:t>
      </w:r>
      <w:r>
        <w:rPr>
          <w:vertAlign w:val="superscript"/>
        </w:rPr>
        <w:t>218</w:t>
      </w:r>
      <w:r>
        <w:t>Ро), RаВ (</w:t>
      </w:r>
      <w:r>
        <w:rPr>
          <w:vertAlign w:val="superscript"/>
        </w:rPr>
        <w:t>214</w:t>
      </w:r>
      <w:r>
        <w:t>Рb), RаС (</w:t>
      </w:r>
      <w:r>
        <w:rPr>
          <w:vertAlign w:val="superscript"/>
        </w:rPr>
        <w:t>214</w:t>
      </w:r>
      <w:r>
        <w:t>Вi) и ТhВ (</w:t>
      </w:r>
      <w:r>
        <w:rPr>
          <w:vertAlign w:val="superscript"/>
        </w:rPr>
        <w:t>212</w:t>
      </w:r>
      <w:r>
        <w:t>Рb), ТhС (</w:t>
      </w:r>
      <w:r>
        <w:rPr>
          <w:vertAlign w:val="superscript"/>
        </w:rPr>
        <w:t>212</w:t>
      </w:r>
      <w:r>
        <w:t>Вi), соответственно.</w:t>
      </w:r>
    </w:p>
    <w:p w14:paraId="6BF72F47" w14:textId="77777777" w:rsidR="00344A08" w:rsidRDefault="00344A08">
      <w:pPr>
        <w:pStyle w:val="bodytext"/>
      </w:pPr>
      <w:r w:rsidRPr="00ED5E78">
        <w:t>2</w:t>
      </w:r>
      <w:r>
        <w:t>.</w:t>
      </w:r>
      <w:r w:rsidRPr="00ED5E78">
        <w:t>7.</w:t>
      </w:r>
      <w:r>
        <w:rPr>
          <w:b/>
          <w:lang w:val="en-US"/>
        </w:rPr>
        <w:t> </w:t>
      </w:r>
      <w:r>
        <w:rPr>
          <w:b/>
          <w:i/>
        </w:rPr>
        <w:object w:dxaOrig="0" w:dyaOrig="0" w14:anchorId="02C54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0.25pt;margin-top:84.35pt;width:9pt;height:17pt;z-index:251658240;mso-position-horizontal-relative:text;mso-position-vertical-relative:text" o:allowincell="f">
            <v:imagedata r:id="rId10" o:title=""/>
            <w10:wrap type="topAndBottom"/>
          </v:shape>
          <o:OLEObject Type="Embed" ProgID="Equation.3" ShapeID="_x0000_s1031" DrawAspect="Content" ObjectID="_1652793535" r:id="rId11"/>
        </w:object>
      </w:r>
      <w:r>
        <w:rPr>
          <w:b/>
          <w:i/>
        </w:rPr>
        <w:t>Эквивалентная равновесная объемная активность (ЭРОА) изотопов радона</w:t>
      </w:r>
      <w:r>
        <w:t xml:space="preserve"> </w:t>
      </w:r>
      <w:r>
        <w:rPr>
          <w:i/>
        </w:rPr>
        <w:t>А</w:t>
      </w:r>
      <w:r>
        <w:rPr>
          <w:i/>
          <w:vertAlign w:val="subscript"/>
        </w:rPr>
        <w:t>экв</w:t>
      </w:r>
      <w:r>
        <w:rPr>
          <w:i/>
        </w:rPr>
        <w:t> = А</w:t>
      </w:r>
      <w:r>
        <w:rPr>
          <w:i/>
          <w:vertAlign w:val="subscript"/>
        </w:rPr>
        <w:t>экв</w:t>
      </w:r>
      <w:r w:rsidRPr="00ED5E78">
        <w:rPr>
          <w:i/>
          <w:vertAlign w:val="subscript"/>
        </w:rPr>
        <w:t>?</w:t>
      </w:r>
      <w:r>
        <w:rPr>
          <w:i/>
          <w:vertAlign w:val="subscript"/>
          <w:lang w:val="en-US"/>
        </w:rPr>
        <w:t>Rn</w:t>
      </w:r>
      <w:r>
        <w:t xml:space="preserve">  + 4,6 </w:t>
      </w:r>
      <w:r>
        <w:sym w:font="Symbol" w:char="F0D7"/>
      </w:r>
      <w:r>
        <w:t> </w:t>
      </w:r>
      <w:r>
        <w:rPr>
          <w:i/>
        </w:rPr>
        <w:t>А</w:t>
      </w:r>
      <w:r>
        <w:rPr>
          <w:i/>
          <w:vertAlign w:val="subscript"/>
        </w:rPr>
        <w:t>экв,</w:t>
      </w:r>
      <w:r>
        <w:rPr>
          <w:i/>
          <w:vertAlign w:val="subscript"/>
          <w:lang w:val="en-US"/>
        </w:rPr>
        <w:t>Tn</w:t>
      </w:r>
      <w:r>
        <w:t>– взвешенная сумма объе</w:t>
      </w:r>
      <w:r>
        <w:t>м</w:t>
      </w:r>
      <w:r>
        <w:t>ных активностей смеси ДПР и ДПТ в воздухе, которая создает такую же эффективную дозу внутреннего облучения, что и смесь ДПР и ДПТ, находящихся в радиоактивном равновесии с матери</w:t>
      </w:r>
      <w:r>
        <w:t>н</w:t>
      </w:r>
      <w:r>
        <w:t>скими равновесия с материнскими радионуклид</w:t>
      </w:r>
      <w:r>
        <w:t>а</w:t>
      </w:r>
      <w:r>
        <w:t xml:space="preserve">ми </w:t>
      </w:r>
      <w:r>
        <w:rPr>
          <w:vertAlign w:val="superscript"/>
        </w:rPr>
        <w:t>222</w:t>
      </w:r>
      <w:r>
        <w:t xml:space="preserve">Rn и </w:t>
      </w:r>
      <w:r>
        <w:rPr>
          <w:vertAlign w:val="superscript"/>
        </w:rPr>
        <w:t>220</w:t>
      </w:r>
      <w:r>
        <w:t>Rn.</w:t>
      </w:r>
    </w:p>
    <w:p w14:paraId="04DDA10C" w14:textId="77777777" w:rsidR="00344A08" w:rsidRDefault="00344A08">
      <w:pPr>
        <w:pStyle w:val="bodytext"/>
      </w:pPr>
      <w:r w:rsidRPr="00ED5E78">
        <w:t>2</w:t>
      </w:r>
      <w:r>
        <w:t>.</w:t>
      </w:r>
      <w:r w:rsidRPr="00ED5E78">
        <w:t>8.</w:t>
      </w:r>
      <w:r>
        <w:rPr>
          <w:b/>
          <w:lang w:val="en-US"/>
        </w:rPr>
        <w:t> </w:t>
      </w:r>
      <w:r>
        <w:rPr>
          <w:b/>
          <w:i/>
        </w:rPr>
        <w:t>Среднегодовое значение ЭРОА изотопов радона в воздухе помещений</w:t>
      </w:r>
      <w:r>
        <w:rPr>
          <w:b/>
        </w:rPr>
        <w:t xml:space="preserve"> (</w:t>
      </w:r>
      <w:r>
        <w:rPr>
          <w:b/>
          <w:position w:val="-6"/>
        </w:rPr>
        <w:object w:dxaOrig="440" w:dyaOrig="340" w14:anchorId="287B622C">
          <v:shape id="_x0000_i1025" type="#_x0000_t75" style="width:19.2pt;height:15pt" o:ole="" fillcolor="window">
            <v:imagedata r:id="rId12" o:title=""/>
          </v:shape>
          <o:OLEObject Type="Embed" ProgID="Equation.3" ShapeID="_x0000_i1025" DrawAspect="Content" ObjectID="_1652793514" r:id="rId13"/>
        </w:object>
      </w:r>
      <w:r>
        <w:rPr>
          <w:b/>
        </w:rPr>
        <w:t>) –</w:t>
      </w:r>
      <w:r>
        <w:t xml:space="preserve"> среднее за год значение ЭРОА изотопов радона. Наилучшим приближением к действительному среднегодовому знач</w:t>
      </w:r>
      <w:r>
        <w:t>е</w:t>
      </w:r>
      <w:r>
        <w:t>нию ЭРОА является его среднее значение по данным двух интеграл</w:t>
      </w:r>
      <w:r>
        <w:t>ь</w:t>
      </w:r>
      <w:r>
        <w:t>ных измерений с экспозицией не менее двух месяцев, выпо</w:t>
      </w:r>
      <w:r>
        <w:t>л</w:t>
      </w:r>
      <w:r>
        <w:t>ненных в холодный и теплый периоды г</w:t>
      </w:r>
      <w:r>
        <w:t>о</w:t>
      </w:r>
      <w:r>
        <w:t>да.</w:t>
      </w:r>
    </w:p>
    <w:p w14:paraId="4577EC5A" w14:textId="77777777" w:rsidR="00344A08" w:rsidRDefault="00344A08">
      <w:pPr>
        <w:pStyle w:val="bodytext"/>
      </w:pPr>
      <w:r w:rsidRPr="00ED5E78">
        <w:t>2</w:t>
      </w:r>
      <w:r>
        <w:t>.</w:t>
      </w:r>
      <w:r w:rsidRPr="00ED5E78">
        <w:t>9.</w:t>
      </w:r>
      <w:r>
        <w:rPr>
          <w:b/>
          <w:lang w:val="en-US"/>
        </w:rPr>
        <w:t> </w:t>
      </w:r>
      <w:r>
        <w:rPr>
          <w:b/>
          <w:i/>
        </w:rPr>
        <w:t>Мощность дозы гамма-излучения в помещении</w:t>
      </w:r>
      <w:r>
        <w:t xml:space="preserve"> – мощность дозы гамма-излучения, измеренная в центре помещения на высоте </w:t>
      </w:r>
      <w:smartTag w:uri="urn:schemas-microsoft-com:office:smarttags" w:element="metricconverter">
        <w:smartTagPr>
          <w:attr w:name="ProductID" w:val="1 м"/>
        </w:smartTagPr>
        <w:r>
          <w:t>1 м</w:t>
        </w:r>
      </w:smartTag>
      <w:r>
        <w:t xml:space="preserve"> от пола. При условии отсутствия в ограждающих конструкциях пом</w:t>
      </w:r>
      <w:r>
        <w:t>е</w:t>
      </w:r>
      <w:r>
        <w:t>щения радиационных аномалий она характеризует среднее зн</w:t>
      </w:r>
      <w:r>
        <w:t>а</w:t>
      </w:r>
      <w:r>
        <w:t>чение мощности дозы гамма-излучения в помещ</w:t>
      </w:r>
      <w:r>
        <w:t>е</w:t>
      </w:r>
      <w:r>
        <w:t>нии.</w:t>
      </w:r>
    </w:p>
    <w:p w14:paraId="24B30BDE" w14:textId="77777777" w:rsidR="00344A08" w:rsidRDefault="00344A08">
      <w:pPr>
        <w:pStyle w:val="bodytext"/>
        <w:rPr>
          <w:spacing w:val="-2"/>
        </w:rPr>
      </w:pPr>
      <w:r>
        <w:lastRenderedPageBreak/>
        <w:t>2.10.</w:t>
      </w:r>
      <w:r>
        <w:rPr>
          <w:b/>
        </w:rPr>
        <w:t> </w:t>
      </w:r>
      <w:r>
        <w:rPr>
          <w:b/>
          <w:i/>
        </w:rPr>
        <w:t>Мощность дозы гамма-излучения на открытой местн</w:t>
      </w:r>
      <w:r>
        <w:rPr>
          <w:b/>
          <w:i/>
        </w:rPr>
        <w:t>о</w:t>
      </w:r>
      <w:r>
        <w:rPr>
          <w:b/>
          <w:i/>
        </w:rPr>
        <w:t>сти</w:t>
      </w:r>
      <w:r>
        <w:t xml:space="preserve"> </w:t>
      </w:r>
      <w:r>
        <w:rPr>
          <w:spacing w:val="-2"/>
        </w:rPr>
        <w:t xml:space="preserve">– мощность дозы гамма-излучения на высоте </w:t>
      </w:r>
      <w:smartTag w:uri="urn:schemas-microsoft-com:office:smarttags" w:element="metricconverter">
        <w:smartTagPr>
          <w:attr w:name="ProductID" w:val="1 м"/>
        </w:smartTagPr>
        <w:r>
          <w:rPr>
            <w:spacing w:val="-2"/>
          </w:rPr>
          <w:t>1 м</w:t>
        </w:r>
      </w:smartTag>
      <w:r>
        <w:rPr>
          <w:spacing w:val="-2"/>
        </w:rPr>
        <w:t xml:space="preserve"> от поверхности земли на достаточном удалении от радиационных аномалий и зд</w:t>
      </w:r>
      <w:r>
        <w:rPr>
          <w:spacing w:val="-2"/>
        </w:rPr>
        <w:t>а</w:t>
      </w:r>
      <w:r>
        <w:rPr>
          <w:spacing w:val="-2"/>
        </w:rPr>
        <w:t>ний.</w:t>
      </w:r>
    </w:p>
    <w:p w14:paraId="03DB0EF5" w14:textId="77777777" w:rsidR="00344A08" w:rsidRDefault="00344A08">
      <w:pPr>
        <w:pStyle w:val="Zag1"/>
      </w:pPr>
      <w:bookmarkStart w:id="3" w:name="_Toc1442111"/>
      <w:r>
        <w:t>3. Нормативные ссылки</w:t>
      </w:r>
      <w:bookmarkEnd w:id="3"/>
    </w:p>
    <w:p w14:paraId="05D96F2D" w14:textId="77777777" w:rsidR="00344A08" w:rsidRDefault="00344A08">
      <w:pPr>
        <w:pStyle w:val="bodytext"/>
      </w:pPr>
      <w:r>
        <w:t>В настоящих методических указаниях использованы ссылки на следующие законодательные и нормативные д</w:t>
      </w:r>
      <w:r>
        <w:t>о</w:t>
      </w:r>
      <w:r>
        <w:t>кументы:</w:t>
      </w:r>
    </w:p>
    <w:p w14:paraId="018ABE3C" w14:textId="77777777" w:rsidR="00344A08" w:rsidRDefault="00344A08">
      <w:pPr>
        <w:pStyle w:val="spisok"/>
      </w:pPr>
      <w:r>
        <w:t>Федеральный закон «О радиационной безопасности насел</w:t>
      </w:r>
      <w:r>
        <w:t>е</w:t>
      </w:r>
      <w:r>
        <w:t>ния» № 3-Ф3 от 09.01.96.</w:t>
      </w:r>
    </w:p>
    <w:p w14:paraId="42B0AFB4" w14:textId="77777777" w:rsidR="00344A08" w:rsidRDefault="00344A08">
      <w:pPr>
        <w:pStyle w:val="spisok"/>
      </w:pPr>
      <w:r>
        <w:t>Федеральный закон «О санитарно-эпидемиологическом благоп</w:t>
      </w:r>
      <w:r>
        <w:t>о</w:t>
      </w:r>
      <w:r>
        <w:t>лучии населения» № 52-ФЗ от 30.03.99.</w:t>
      </w:r>
    </w:p>
    <w:p w14:paraId="0F51772B" w14:textId="77777777" w:rsidR="00344A08" w:rsidRDefault="00344A08">
      <w:pPr>
        <w:pStyle w:val="spisok"/>
        <w:rPr>
          <w:spacing w:val="-4"/>
        </w:rPr>
      </w:pPr>
      <w:r>
        <w:rPr>
          <w:spacing w:val="-4"/>
        </w:rPr>
        <w:t>Нормы радиационной безопасности (НРБ-99). СП 2.6.1.758—99.</w:t>
      </w:r>
    </w:p>
    <w:p w14:paraId="43556558" w14:textId="77777777" w:rsidR="00344A08" w:rsidRDefault="00344A08">
      <w:pPr>
        <w:pStyle w:val="spisok"/>
      </w:pPr>
      <w:r>
        <w:t>Приказ МЗ РФ № 219 от 24.07.97. «О создании единой государс</w:t>
      </w:r>
      <w:r>
        <w:t>т</w:t>
      </w:r>
      <w:r>
        <w:t>венной системы контроля и учета индивидуальных доз облучения гра</w:t>
      </w:r>
      <w:r>
        <w:t>ж</w:t>
      </w:r>
      <w:r>
        <w:t>дан».</w:t>
      </w:r>
    </w:p>
    <w:p w14:paraId="3E1DA7B4" w14:textId="77777777" w:rsidR="00344A08" w:rsidRDefault="00344A08">
      <w:pPr>
        <w:pStyle w:val="Zag1"/>
      </w:pPr>
      <w:bookmarkStart w:id="4" w:name="_Toc1442112"/>
      <w:r>
        <w:t>4. Общие положения</w:t>
      </w:r>
      <w:bookmarkEnd w:id="4"/>
      <w:r>
        <w:t xml:space="preserve"> </w:t>
      </w:r>
    </w:p>
    <w:p w14:paraId="12B769DA" w14:textId="77777777" w:rsidR="00344A08" w:rsidRDefault="00344A08">
      <w:pPr>
        <w:pStyle w:val="bodytext"/>
      </w:pPr>
      <w:r>
        <w:t>4.1. Наибольший вклад в дозу облучения населения вносят пр</w:t>
      </w:r>
      <w:r>
        <w:t>и</w:t>
      </w:r>
      <w:r>
        <w:t>родные источники ионизирующих излучений – обычно от 50 до более чем 90 % суммарной годовой эффе</w:t>
      </w:r>
      <w:r>
        <w:t>к</w:t>
      </w:r>
      <w:r>
        <w:t>тивной дозы облучения.</w:t>
      </w:r>
    </w:p>
    <w:p w14:paraId="21649249" w14:textId="77777777" w:rsidR="00344A08" w:rsidRDefault="00344A08">
      <w:pPr>
        <w:pStyle w:val="bodytext"/>
      </w:pPr>
      <w:r>
        <w:t>При этом основная доля в структуре облучения населения прих</w:t>
      </w:r>
      <w:r>
        <w:t>о</w:t>
      </w:r>
      <w:r>
        <w:t>дится на внутреннее облучение за счет ингаляции изотопов рад</w:t>
      </w:r>
      <w:r>
        <w:t>о</w:t>
      </w:r>
      <w:r>
        <w:t>на (</w:t>
      </w:r>
      <w:r>
        <w:rPr>
          <w:vertAlign w:val="superscript"/>
        </w:rPr>
        <w:t>222</w:t>
      </w:r>
      <w:r>
        <w:t xml:space="preserve">Rn – радон и </w:t>
      </w:r>
      <w:r>
        <w:rPr>
          <w:vertAlign w:val="superscript"/>
        </w:rPr>
        <w:t>220</w:t>
      </w:r>
      <w:r>
        <w:t>Rn – торон) и их короткоживущих дочерних проду</w:t>
      </w:r>
      <w:r>
        <w:t>к</w:t>
      </w:r>
      <w:r>
        <w:t>тов (ДПР и ДПТ), содержащихся в воздухе жилых и общественных зд</w:t>
      </w:r>
      <w:r>
        <w:t>а</w:t>
      </w:r>
      <w:r>
        <w:t>ний и производственных помещений, а также в приземном слое атм</w:t>
      </w:r>
      <w:r>
        <w:t>о</w:t>
      </w:r>
      <w:r>
        <w:t xml:space="preserve">сферы на территории населенных пунктов. </w:t>
      </w:r>
    </w:p>
    <w:p w14:paraId="2A4CB5F0" w14:textId="77777777" w:rsidR="00344A08" w:rsidRDefault="00344A08">
      <w:pPr>
        <w:pStyle w:val="bodytext"/>
      </w:pPr>
      <w:r>
        <w:t>Следующим по значимости в облучении населения, как правило, является гамма-излучение природных радионуклидов, содерж</w:t>
      </w:r>
      <w:r>
        <w:t>а</w:t>
      </w:r>
      <w:r>
        <w:t>щихся в строительных материалах и конструкциях зданий, а также рассеянных в окружающей среде.</w:t>
      </w:r>
    </w:p>
    <w:p w14:paraId="5BEC9399" w14:textId="77777777" w:rsidR="00344A08" w:rsidRDefault="00344A08">
      <w:pPr>
        <w:pStyle w:val="bodytext"/>
      </w:pPr>
      <w:r>
        <w:t>В некоторых случаях существенным может быть внутреннее обл</w:t>
      </w:r>
      <w:r>
        <w:t>у</w:t>
      </w:r>
      <w:r>
        <w:t>чение населения за счет перорального поступления долгоживущих пр</w:t>
      </w:r>
      <w:r>
        <w:t>и</w:t>
      </w:r>
      <w:r>
        <w:t>родных радионуклидов, содержащихся в воде источников питьевого водоснабжения и продуктах питания, а также ингаляционного посту</w:t>
      </w:r>
      <w:r>
        <w:t>п</w:t>
      </w:r>
      <w:r>
        <w:t>ления аэрозолей долгоживущих природных радионуклидов из атм</w:t>
      </w:r>
      <w:r>
        <w:t>о</w:t>
      </w:r>
      <w:r>
        <w:t>сферного воздуха.</w:t>
      </w:r>
    </w:p>
    <w:p w14:paraId="1DE74580" w14:textId="77777777" w:rsidR="00344A08" w:rsidRDefault="00344A08">
      <w:pPr>
        <w:pStyle w:val="bodytext"/>
      </w:pPr>
      <w:r>
        <w:t>4.2. Перечисленные природные источники излучения в осно</w:t>
      </w:r>
      <w:r>
        <w:t>в</w:t>
      </w:r>
      <w:r>
        <w:t>ном и определяют радиационную обстановку на территории нас</w:t>
      </w:r>
      <w:r>
        <w:t>е</w:t>
      </w:r>
      <w:r>
        <w:t>ленного пункта (района и т. д.).</w:t>
      </w:r>
    </w:p>
    <w:p w14:paraId="4C620F13" w14:textId="77777777" w:rsidR="00344A08" w:rsidRDefault="00344A08">
      <w:pPr>
        <w:pStyle w:val="bodytext"/>
      </w:pPr>
      <w:r>
        <w:lastRenderedPageBreak/>
        <w:t>Уровни облучения населения изотопами радона, а также га</w:t>
      </w:r>
      <w:r>
        <w:t>м</w:t>
      </w:r>
      <w:r>
        <w:t>ма-излучением природных радионуклидов определяют радиационную о</w:t>
      </w:r>
      <w:r>
        <w:t>б</w:t>
      </w:r>
      <w:r>
        <w:t>становку в жилых, общественных и других зданиях, в которых люди проводят большую часть времени (по оценке НКДАР ООН – ок</w:t>
      </w:r>
      <w:r>
        <w:t>о</w:t>
      </w:r>
      <w:r>
        <w:t xml:space="preserve">ло 80 %). </w:t>
      </w:r>
    </w:p>
    <w:p w14:paraId="68E921FE" w14:textId="77777777" w:rsidR="00344A08" w:rsidRDefault="00344A08">
      <w:pPr>
        <w:pStyle w:val="bodytext"/>
      </w:pPr>
      <w:r>
        <w:t>4.3. Достаточно надежная информация об уровнях облучения нас</w:t>
      </w:r>
      <w:r>
        <w:t>е</w:t>
      </w:r>
      <w:r>
        <w:t>ления может быть получена по результатам обследования репрезент</w:t>
      </w:r>
      <w:r>
        <w:t>а</w:t>
      </w:r>
      <w:r>
        <w:t>тивной выборки жилых и общественных зданий, организацию и пров</w:t>
      </w:r>
      <w:r>
        <w:t>е</w:t>
      </w:r>
      <w:r>
        <w:t>дение которого следует осуществлять в соответствии с методическими рекомендациями «Выборочное обследование жилых зданий для оценки доз облучения населения.—М.: Минздрав Ро</w:t>
      </w:r>
      <w:r>
        <w:t>с</w:t>
      </w:r>
      <w:r>
        <w:t>сии. Утв. 29.08.00 № 11-2/206—09» [1].</w:t>
      </w:r>
    </w:p>
    <w:p w14:paraId="52CA0229" w14:textId="77777777" w:rsidR="00344A08" w:rsidRDefault="00344A08">
      <w:pPr>
        <w:pStyle w:val="bodytext"/>
      </w:pPr>
      <w:r>
        <w:t>Рекомендации по формированию представительной выборки об</w:t>
      </w:r>
      <w:r>
        <w:t>ъ</w:t>
      </w:r>
      <w:r>
        <w:t>ектов обследования для получения репрезентативных данных об уро</w:t>
      </w:r>
      <w:r>
        <w:t>в</w:t>
      </w:r>
      <w:r>
        <w:t>нях облучения населения природными источниками излучения прив</w:t>
      </w:r>
      <w:r>
        <w:t>е</w:t>
      </w:r>
      <w:r>
        <w:t xml:space="preserve">дены в [1]. </w:t>
      </w:r>
    </w:p>
    <w:p w14:paraId="2AC1C686" w14:textId="77777777" w:rsidR="00344A08" w:rsidRDefault="00344A08">
      <w:pPr>
        <w:pStyle w:val="bodytext"/>
      </w:pPr>
      <w:r>
        <w:t>4.4. Настоящие методические указания устанавливают треб</w:t>
      </w:r>
      <w:r>
        <w:t>о</w:t>
      </w:r>
      <w:r>
        <w:t>вания к определению индивидуальных годовых эффективных доз облучения взрослого населения, включая также и критические гру</w:t>
      </w:r>
      <w:r>
        <w:t>п</w:t>
      </w:r>
      <w:r>
        <w:t>пы населения</w:t>
      </w:r>
      <w:r>
        <w:rPr>
          <w:rStyle w:val="aa"/>
        </w:rPr>
        <w:footnoteReference w:customMarkFollows="1" w:id="1"/>
        <w:sym w:font="Symbol" w:char="F02A"/>
      </w:r>
      <w:r>
        <w:t>, за счет всех основных природных источников ионизирующего излуч</w:t>
      </w:r>
      <w:r>
        <w:t>е</w:t>
      </w:r>
      <w:r>
        <w:t>ния в коммунальной сфере.</w:t>
      </w:r>
    </w:p>
    <w:p w14:paraId="66E9BE2C" w14:textId="77777777" w:rsidR="00344A08" w:rsidRDefault="00344A08">
      <w:pPr>
        <w:pStyle w:val="bodytext"/>
      </w:pPr>
      <w:r>
        <w:t>Дозы облучения природными источниками излучений рабо</w:t>
      </w:r>
      <w:r>
        <w:t>т</w:t>
      </w:r>
      <w:r>
        <w:t>ников предприятий и организаций, включая и персонал, в производс</w:t>
      </w:r>
      <w:r>
        <w:t>т</w:t>
      </w:r>
      <w:r>
        <w:t>венных условиях определяются другими документами.</w:t>
      </w:r>
    </w:p>
    <w:p w14:paraId="3031805E" w14:textId="77777777" w:rsidR="00344A08" w:rsidRDefault="00344A08">
      <w:pPr>
        <w:pStyle w:val="bodytext"/>
      </w:pPr>
      <w:r>
        <w:t>4.5. Для населения, проживающего на территории с техногенно и</w:t>
      </w:r>
      <w:r>
        <w:t>з</w:t>
      </w:r>
      <w:r>
        <w:t>мененным радиационным фоном, вклад радиоактивного загря</w:t>
      </w:r>
      <w:r>
        <w:t>з</w:t>
      </w:r>
      <w:r>
        <w:t>нения территории в суммарные дозы облучения населения должен опред</w:t>
      </w:r>
      <w:r>
        <w:t>е</w:t>
      </w:r>
      <w:r>
        <w:t>ляться в соответствии с требованиями специальных методических ук</w:t>
      </w:r>
      <w:r>
        <w:t>а</w:t>
      </w:r>
      <w:r>
        <w:t>заний</w:t>
      </w:r>
      <w:r>
        <w:rPr>
          <w:rStyle w:val="aa"/>
        </w:rPr>
        <w:footnoteReference w:customMarkFollows="1" w:id="2"/>
        <w:sym w:font="Symbol" w:char="F02A"/>
      </w:r>
      <w:r>
        <w:rPr>
          <w:rStyle w:val="aa"/>
        </w:rPr>
        <w:sym w:font="Symbol" w:char="F02A"/>
      </w:r>
      <w:r>
        <w:t>.</w:t>
      </w:r>
    </w:p>
    <w:p w14:paraId="76165C94" w14:textId="77777777" w:rsidR="00344A08" w:rsidRDefault="00344A08">
      <w:pPr>
        <w:pStyle w:val="bodytext"/>
      </w:pPr>
      <w:r>
        <w:lastRenderedPageBreak/>
        <w:t>Для населенных пунктов, подвергшихся радиоактивному загрязн</w:t>
      </w:r>
      <w:r>
        <w:t>е</w:t>
      </w:r>
      <w:r>
        <w:t>нию вследствие аварии на Чернобыльской АЭС, дозы обл</w:t>
      </w:r>
      <w:r>
        <w:t>у</w:t>
      </w:r>
      <w:r>
        <w:t>чения за счет техногенного загрязнения территории следует определять в соответс</w:t>
      </w:r>
      <w:r>
        <w:t>т</w:t>
      </w:r>
      <w:r>
        <w:t>вии с МУ 2.6.1.784—99 «Зонирование населенных пунктов Российской Федерации, подвергшихся радиоактивному з</w:t>
      </w:r>
      <w:r>
        <w:t>а</w:t>
      </w:r>
      <w:r>
        <w:t>грязнению вследствие аварии на Чернобыльской АЭС, по критерию годовой дозы облучения нас</w:t>
      </w:r>
      <w:r>
        <w:t>е</w:t>
      </w:r>
      <w:r>
        <w:t>ления» [2].</w:t>
      </w:r>
    </w:p>
    <w:p w14:paraId="52EA9014" w14:textId="77777777" w:rsidR="00344A08" w:rsidRDefault="00344A08">
      <w:pPr>
        <w:pStyle w:val="bodytext"/>
      </w:pPr>
      <w:r>
        <w:t>Для населенных пунктов, оказавшихся в зоне влияния ПО «М</w:t>
      </w:r>
      <w:r>
        <w:t>а</w:t>
      </w:r>
      <w:r>
        <w:t>як», дозы облучения за счет техногенного загрязнения территории следует определять в соответствии с МУ 2.6.016—93 «Определение годовой эффективной дозы облучения жителей населенных пунктов Российской Федерации, подвергшихся радиоактивному загрязн</w:t>
      </w:r>
      <w:r>
        <w:t>е</w:t>
      </w:r>
      <w:r>
        <w:t xml:space="preserve">нию вследствие аварии в </w:t>
      </w:r>
      <w:smartTag w:uri="urn:schemas-microsoft-com:office:smarttags" w:element="metricconverter">
        <w:smartTagPr>
          <w:attr w:name="ProductID" w:val="1957 г"/>
        </w:smartTagPr>
        <w:r>
          <w:t>1957 г</w:t>
        </w:r>
      </w:smartTag>
      <w:r>
        <w:t>. на ПО «Маяк» и сбросов радиоа</w:t>
      </w:r>
      <w:r>
        <w:t>к</w:t>
      </w:r>
      <w:r>
        <w:t>тивных отходов в реку Теча» [3].</w:t>
      </w:r>
    </w:p>
    <w:p w14:paraId="0BA621EA" w14:textId="77777777" w:rsidR="00344A08" w:rsidRDefault="00344A08">
      <w:pPr>
        <w:pStyle w:val="bodytext"/>
      </w:pPr>
      <w:r>
        <w:t>4.6. Эффективная доза – это величина, которая используется как мера риска возникновения отдаленных последствий облучения всего тела человека и отдельных его органов и тканей с учетом их радиочу</w:t>
      </w:r>
      <w:r>
        <w:t>в</w:t>
      </w:r>
      <w:r>
        <w:t>ствительности.</w:t>
      </w:r>
    </w:p>
    <w:p w14:paraId="7F6FCEE4" w14:textId="77777777" w:rsidR="00344A08" w:rsidRDefault="00344A08">
      <w:pPr>
        <w:pStyle w:val="bodytext"/>
      </w:pPr>
      <w:r>
        <w:t>Исходные данные для расчета индивидуальных годовых эффе</w:t>
      </w:r>
      <w:r>
        <w:t>к</w:t>
      </w:r>
      <w:r>
        <w:t>тивных доз облучения населения за счет природных источников ион</w:t>
      </w:r>
      <w:r>
        <w:t>и</w:t>
      </w:r>
      <w:r>
        <w:t>зирующего излучения должны вкл</w:t>
      </w:r>
      <w:r>
        <w:t>ю</w:t>
      </w:r>
      <w:r>
        <w:t>чать:</w:t>
      </w:r>
    </w:p>
    <w:p w14:paraId="7F610C91" w14:textId="77777777" w:rsidR="00344A08" w:rsidRDefault="00344A08">
      <w:pPr>
        <w:pStyle w:val="spisok"/>
      </w:pPr>
      <w:r>
        <w:t>Данные о среднегодовых значениях эквивалентной равновесной объемной активности (ЭРОА) изотопов радона в воздухе жилых и о</w:t>
      </w:r>
      <w:r>
        <w:t>б</w:t>
      </w:r>
      <w:r>
        <w:t>щественных зданий, а также в атмосферном воздухе на территории н</w:t>
      </w:r>
      <w:r>
        <w:t>а</w:t>
      </w:r>
      <w:r>
        <w:t>селе</w:t>
      </w:r>
      <w:r>
        <w:t>н</w:t>
      </w:r>
      <w:r>
        <w:t>ного пункта (района и т. п.).</w:t>
      </w:r>
    </w:p>
    <w:p w14:paraId="492C0DBD" w14:textId="77777777" w:rsidR="00344A08" w:rsidRDefault="00344A08">
      <w:pPr>
        <w:pStyle w:val="spisok"/>
      </w:pPr>
      <w:r>
        <w:t>Данные о средних значениях мощности дозы гамма-излучения в жилых и общественных зданиях, а также на территории населе</w:t>
      </w:r>
      <w:r>
        <w:t>н</w:t>
      </w:r>
      <w:r>
        <w:t>ного пункта (района и т. п.).</w:t>
      </w:r>
    </w:p>
    <w:p w14:paraId="3A17D743" w14:textId="77777777" w:rsidR="00344A08" w:rsidRDefault="00344A08">
      <w:pPr>
        <w:pStyle w:val="spisok"/>
      </w:pPr>
      <w:r>
        <w:t>Информацию о содержании природных радионуклидов в воде и</w:t>
      </w:r>
      <w:r>
        <w:t>с</w:t>
      </w:r>
      <w:r>
        <w:t>точников питьевого водоснабжения н</w:t>
      </w:r>
      <w:r>
        <w:t>а</w:t>
      </w:r>
      <w:r>
        <w:t>селения.</w:t>
      </w:r>
    </w:p>
    <w:p w14:paraId="3FAA09BE" w14:textId="77777777" w:rsidR="00344A08" w:rsidRDefault="00344A08">
      <w:pPr>
        <w:pStyle w:val="spisok"/>
      </w:pPr>
      <w:r>
        <w:t>Данные об основных компонентах рациона питания населения, годовом потреблении продуктов питания и значениях удельной акти</w:t>
      </w:r>
      <w:r>
        <w:t>в</w:t>
      </w:r>
      <w:r>
        <w:t>ности природных ради</w:t>
      </w:r>
      <w:r>
        <w:t>о</w:t>
      </w:r>
      <w:r>
        <w:t>нуклидов в них.</w:t>
      </w:r>
    </w:p>
    <w:p w14:paraId="7944A725" w14:textId="77777777" w:rsidR="00344A08" w:rsidRDefault="00344A08">
      <w:pPr>
        <w:pStyle w:val="spisok"/>
      </w:pPr>
      <w:r>
        <w:t>Данные о среднегодовом содержании пыли (аэрозолей) в призе</w:t>
      </w:r>
      <w:r>
        <w:t>м</w:t>
      </w:r>
      <w:r>
        <w:t>ном слое атмосферного воздуха и удельной активности долг</w:t>
      </w:r>
      <w:r>
        <w:t>о</w:t>
      </w:r>
      <w:r>
        <w:t>живущих природных радиону</w:t>
      </w:r>
      <w:r>
        <w:t>к</w:t>
      </w:r>
      <w:r>
        <w:t>лидов в пыли.</w:t>
      </w:r>
    </w:p>
    <w:p w14:paraId="59CD3093" w14:textId="77777777" w:rsidR="00344A08" w:rsidRDefault="00344A08">
      <w:pPr>
        <w:pStyle w:val="bodytext"/>
        <w:rPr>
          <w:spacing w:val="-2"/>
        </w:rPr>
      </w:pPr>
      <w:r>
        <w:rPr>
          <w:spacing w:val="-2"/>
        </w:rPr>
        <w:t>4.7. По характеру получаемой измерительной информации при в</w:t>
      </w:r>
      <w:r>
        <w:rPr>
          <w:spacing w:val="-2"/>
        </w:rPr>
        <w:t>ы</w:t>
      </w:r>
      <w:r>
        <w:rPr>
          <w:spacing w:val="-2"/>
        </w:rPr>
        <w:t>борочном обследовании уровней облучения населения природными и</w:t>
      </w:r>
      <w:r>
        <w:rPr>
          <w:spacing w:val="-2"/>
        </w:rPr>
        <w:t>с</w:t>
      </w:r>
      <w:r>
        <w:rPr>
          <w:spacing w:val="-2"/>
        </w:rPr>
        <w:t>точниками излучений индивидуальные годовые эффективные дозы обл</w:t>
      </w:r>
      <w:r>
        <w:rPr>
          <w:spacing w:val="-2"/>
        </w:rPr>
        <w:t>у</w:t>
      </w:r>
      <w:r>
        <w:rPr>
          <w:spacing w:val="-2"/>
        </w:rPr>
        <w:t xml:space="preserve">чения </w:t>
      </w:r>
      <w:r>
        <w:rPr>
          <w:spacing w:val="-2"/>
        </w:rPr>
        <w:lastRenderedPageBreak/>
        <w:t>населения являются «среднегрупповыми индивидуальными доз</w:t>
      </w:r>
      <w:r>
        <w:rPr>
          <w:spacing w:val="-2"/>
        </w:rPr>
        <w:t>а</w:t>
      </w:r>
      <w:r>
        <w:rPr>
          <w:spacing w:val="-2"/>
        </w:rPr>
        <w:t>ми» группы граждан (средние по населенному пункту, критической гру</w:t>
      </w:r>
      <w:r>
        <w:rPr>
          <w:spacing w:val="-2"/>
        </w:rPr>
        <w:t>п</w:t>
      </w:r>
      <w:r>
        <w:rPr>
          <w:spacing w:val="-2"/>
        </w:rPr>
        <w:t>пе населения и т. д.), имеющей сходные условия облучения, производс</w:t>
      </w:r>
      <w:r>
        <w:rPr>
          <w:spacing w:val="-2"/>
        </w:rPr>
        <w:t>т</w:t>
      </w:r>
      <w:r>
        <w:rPr>
          <w:spacing w:val="-2"/>
        </w:rPr>
        <w:t>венные и/или территориальные призн</w:t>
      </w:r>
      <w:r>
        <w:rPr>
          <w:spacing w:val="-2"/>
        </w:rPr>
        <w:t>а</w:t>
      </w:r>
      <w:r>
        <w:rPr>
          <w:spacing w:val="-2"/>
        </w:rPr>
        <w:t xml:space="preserve">ки. </w:t>
      </w:r>
    </w:p>
    <w:p w14:paraId="2FCD543D" w14:textId="77777777" w:rsidR="00344A08" w:rsidRDefault="00344A08">
      <w:pPr>
        <w:pStyle w:val="bodytext"/>
      </w:pPr>
      <w:r>
        <w:t>Однако в соответствии с Инструкцией по заполнению Формы № 4-ДОЗ «Форма государственного статистического наблюдения № 4-ДОЗ. Инструкция по заполнению.—М.: Минздрав России. Утв. 28.11.01 № 11-2/283-09» [3], первичная измерительная информация, включа</w:t>
      </w:r>
      <w:r>
        <w:t>ю</w:t>
      </w:r>
      <w:r>
        <w:t>щая данные об объектах контроля и уровнях радиацио</w:t>
      </w:r>
      <w:r>
        <w:t>н</w:t>
      </w:r>
      <w:r>
        <w:t>ных факторов, при необходимости, позволяет получить оценку индивидуальных (пе</w:t>
      </w:r>
      <w:r>
        <w:t>р</w:t>
      </w:r>
      <w:r>
        <w:t>сональных) годовых эффективных доз облучения населения (конкретн</w:t>
      </w:r>
      <w:r>
        <w:t>о</w:t>
      </w:r>
      <w:r>
        <w:t>го человека, критической группы и т. п.).</w:t>
      </w:r>
    </w:p>
    <w:p w14:paraId="73258405" w14:textId="77777777" w:rsidR="00344A08" w:rsidRDefault="00344A08">
      <w:pPr>
        <w:pStyle w:val="Zag1"/>
      </w:pPr>
      <w:bookmarkStart w:id="5" w:name="_Toc1442113"/>
      <w:r>
        <w:t xml:space="preserve">5. Определение индивидуальных эффективных доз </w:t>
      </w:r>
      <w:r>
        <w:rPr>
          <w:noProof w:val="0"/>
        </w:rPr>
        <w:br/>
      </w:r>
      <w:r>
        <w:t>внешнего облучения насел</w:t>
      </w:r>
      <w:r>
        <w:t>е</w:t>
      </w:r>
      <w:r>
        <w:t>ния</w:t>
      </w:r>
      <w:bookmarkEnd w:id="5"/>
    </w:p>
    <w:p w14:paraId="0146A82F" w14:textId="77777777" w:rsidR="00344A08" w:rsidRDefault="00344A08">
      <w:pPr>
        <w:pStyle w:val="bodytext"/>
      </w:pPr>
      <w:r>
        <w:t>5.1. Значение индивидуальной годовой эффективной дозы внешн</w:t>
      </w:r>
      <w:r>
        <w:t>е</w:t>
      </w:r>
      <w:r>
        <w:t>го облучения взрослых жителей населенного пункта (района и т. п.) о</w:t>
      </w:r>
      <w:r>
        <w:t>п</w:t>
      </w:r>
      <w:r>
        <w:t>ределяется по результатам измерений мощности дозы гамма-излучения в жилых и общественных зданиях и на открытой местности на террит</w:t>
      </w:r>
      <w:r>
        <w:t>о</w:t>
      </w:r>
      <w:r>
        <w:t>рии населенного пункта (района и т. п.) и рассчитывается по форм</w:t>
      </w:r>
      <w:r>
        <w:t>у</w:t>
      </w:r>
      <w:r>
        <w:t>ле:</w:t>
      </w:r>
    </w:p>
    <w:p w14:paraId="0EAECA00" w14:textId="77777777" w:rsidR="00344A08" w:rsidRDefault="00344A08">
      <w:pPr>
        <w:tabs>
          <w:tab w:val="right" w:pos="5103"/>
        </w:tabs>
        <w:spacing w:before="120" w:after="120"/>
        <w:jc w:val="center"/>
      </w:pPr>
      <w:r>
        <w:rPr>
          <w:position w:val="-34"/>
        </w:rPr>
        <w:object w:dxaOrig="4320" w:dyaOrig="780" w14:anchorId="03E85272">
          <v:shape id="_x0000_i1026" type="#_x0000_t75" style="width:199.2pt;height:39pt" o:ole="" fillcolor="window">
            <v:imagedata r:id="rId14" o:title=""/>
          </v:shape>
          <o:OLEObject Type="Embed" ProgID="Equation.3" ShapeID="_x0000_i1026" DrawAspect="Content" ObjectID="_1652793515" r:id="rId15"/>
        </w:object>
      </w:r>
      <w:r>
        <w:tab/>
        <w:t>(1)</w:t>
      </w:r>
    </w:p>
    <w:p w14:paraId="62881AF2" w14:textId="77777777" w:rsidR="00344A08" w:rsidRDefault="00344A08">
      <w:pPr>
        <w:pStyle w:val="bodytext"/>
        <w:ind w:firstLine="0"/>
      </w:pPr>
      <w:r>
        <w:t>в которой приняты следующие обозначения:</w:t>
      </w:r>
    </w:p>
    <w:p w14:paraId="1A7E9D0E" w14:textId="77777777" w:rsidR="00344A08" w:rsidRDefault="00344A08">
      <w:pPr>
        <w:pStyle w:val="bodytext"/>
      </w:pPr>
      <w:r>
        <w:t>8800 – стандартное число часов в году;</w:t>
      </w:r>
    </w:p>
    <w:p w14:paraId="065BE9DF" w14:textId="77777777" w:rsidR="00344A08" w:rsidRDefault="00344A08">
      <w:pPr>
        <w:pStyle w:val="bodytext"/>
      </w:pPr>
      <w:r>
        <w:t>10</w:t>
      </w:r>
      <w:r>
        <w:rPr>
          <w:vertAlign w:val="superscript"/>
        </w:rPr>
        <w:t>–3</w:t>
      </w:r>
      <w:r>
        <w:t xml:space="preserve"> – коэффициент перевода мкЗв в мЗв;</w:t>
      </w:r>
    </w:p>
    <w:p w14:paraId="0F27C3F1" w14:textId="77777777" w:rsidR="00344A08" w:rsidRDefault="00344A08">
      <w:pPr>
        <w:pStyle w:val="bodytext"/>
      </w:pPr>
      <w:r>
        <w:t>0,8 и 0,2 – доля времени нахождения людей в помещениях и на улице соответстве</w:t>
      </w:r>
      <w:r>
        <w:t>н</w:t>
      </w:r>
      <w:r>
        <w:t>но</w:t>
      </w:r>
      <w:r>
        <w:rPr>
          <w:rStyle w:val="aa"/>
        </w:rPr>
        <w:footnoteReference w:customMarkFollows="1" w:id="3"/>
        <w:sym w:font="Symbol" w:char="F02A"/>
      </w:r>
      <w:r>
        <w:t>;</w:t>
      </w:r>
    </w:p>
    <w:p w14:paraId="0394A34F" w14:textId="77777777" w:rsidR="00344A08" w:rsidRDefault="00344A08">
      <w:pPr>
        <w:pStyle w:val="bodytext"/>
      </w:pPr>
      <w:r>
        <w:rPr>
          <w:position w:val="-10"/>
        </w:rPr>
        <w:object w:dxaOrig="320" w:dyaOrig="340" w14:anchorId="02AF98D0">
          <v:shape id="_x0000_i1027" type="#_x0000_t75" style="width:15.6pt;height:16.8pt" o:ole="" fillcolor="window">
            <v:imagedata r:id="rId16" o:title=""/>
          </v:shape>
          <o:OLEObject Type="Embed" ProgID="Equation.3" ShapeID="_x0000_i1027" DrawAspect="Content" ObjectID="_1652793516" r:id="rId17"/>
        </w:object>
      </w:r>
      <w:r>
        <w:t xml:space="preserve"> – среднее значение мощности дозы гамма-излучения на откр</w:t>
      </w:r>
      <w:r>
        <w:t>ы</w:t>
      </w:r>
      <w:r>
        <w:t>той территории населенного пункта (индекс «</w:t>
      </w:r>
      <w:r>
        <w:rPr>
          <w:i/>
        </w:rPr>
        <w:t>ул.</w:t>
      </w:r>
      <w:r>
        <w:t>») и в жилых и общес</w:t>
      </w:r>
      <w:r>
        <w:t>т</w:t>
      </w:r>
      <w:r>
        <w:t>венных зданиях (индекс «</w:t>
      </w:r>
      <w:r>
        <w:rPr>
          <w:i/>
        </w:rPr>
        <w:t>здан.»</w:t>
      </w:r>
      <w:r>
        <w:t>) соо</w:t>
      </w:r>
      <w:r>
        <w:t>т</w:t>
      </w:r>
      <w:r>
        <w:t>ветственно;</w:t>
      </w:r>
    </w:p>
    <w:p w14:paraId="7849CE5C" w14:textId="77777777" w:rsidR="00344A08" w:rsidRDefault="00344A08">
      <w:pPr>
        <w:pStyle w:val="bodytext"/>
      </w:pPr>
      <w:r>
        <w:rPr>
          <w:position w:val="-12"/>
        </w:rPr>
        <w:object w:dxaOrig="260" w:dyaOrig="320" w14:anchorId="25861C49">
          <v:shape id="_x0000_i1028" type="#_x0000_t75" style="width:13.2pt;height:16.2pt" o:ole="" fillcolor="window">
            <v:imagedata r:id="rId18" o:title=""/>
          </v:shape>
          <o:OLEObject Type="Embed" ProgID="Equation.3" ShapeID="_x0000_i1028" DrawAspect="Content" ObjectID="_1652793517" r:id="rId19"/>
        </w:object>
      </w:r>
      <w:r>
        <w:t>– дозовый коэффициент, численное значение которого прин</w:t>
      </w:r>
      <w:r>
        <w:t>и</w:t>
      </w:r>
      <w:r>
        <w:t xml:space="preserve">мается равным: </w:t>
      </w:r>
    </w:p>
    <w:p w14:paraId="427E9642" w14:textId="77777777" w:rsidR="00344A08" w:rsidRDefault="00344A08">
      <w:pPr>
        <w:pStyle w:val="bodytext"/>
      </w:pPr>
      <w:r>
        <w:lastRenderedPageBreak/>
        <w:t xml:space="preserve">1,0 мЗв/мкЗв, если </w:t>
      </w:r>
      <w:r>
        <w:rPr>
          <w:i/>
        </w:rPr>
        <w:t>Н</w:t>
      </w:r>
      <w:r>
        <w:rPr>
          <w:i/>
          <w:vertAlign w:val="subscript"/>
        </w:rPr>
        <w:t>i</w:t>
      </w:r>
      <w:r>
        <w:t xml:space="preserve"> – мощность эквивалентной (амбиентной) д</w:t>
      </w:r>
      <w:r>
        <w:t>о</w:t>
      </w:r>
      <w:r>
        <w:t>зы гамма-излучения, выраженная в мкЗв/час;</w:t>
      </w:r>
    </w:p>
    <w:p w14:paraId="0D573F1E" w14:textId="77777777" w:rsidR="00344A08" w:rsidRDefault="00344A08">
      <w:pPr>
        <w:pStyle w:val="bodytext"/>
      </w:pPr>
      <w:r>
        <w:t xml:space="preserve">0,7 мЗв/мкГр, если </w:t>
      </w:r>
      <w:r>
        <w:rPr>
          <w:i/>
        </w:rPr>
        <w:t>Н</w:t>
      </w:r>
      <w:r>
        <w:rPr>
          <w:i/>
          <w:vertAlign w:val="subscript"/>
        </w:rPr>
        <w:t>i</w:t>
      </w:r>
      <w:r>
        <w:t xml:space="preserve"> – мощность поглощенной дозы гамма-излучения, выр</w:t>
      </w:r>
      <w:r>
        <w:t>а</w:t>
      </w:r>
      <w:r>
        <w:t>женная в мкГр/час;</w:t>
      </w:r>
    </w:p>
    <w:p w14:paraId="671D0CE8" w14:textId="77777777" w:rsidR="00344A08" w:rsidRDefault="00344A08">
      <w:pPr>
        <w:pStyle w:val="bodytext"/>
      </w:pPr>
      <w:r>
        <w:t xml:space="preserve">0,0061 мЗв/мкР, если </w:t>
      </w:r>
      <w:r>
        <w:rPr>
          <w:i/>
        </w:rPr>
        <w:t>Н</w:t>
      </w:r>
      <w:r>
        <w:rPr>
          <w:i/>
          <w:vertAlign w:val="subscript"/>
        </w:rPr>
        <w:t>i</w:t>
      </w:r>
      <w:r>
        <w:t xml:space="preserve"> –мощность экспозиционной дозы га</w:t>
      </w:r>
      <w:r>
        <w:t>м</w:t>
      </w:r>
      <w:r>
        <w:t>ма-излучения, в</w:t>
      </w:r>
      <w:r>
        <w:t>ы</w:t>
      </w:r>
      <w:r>
        <w:t>раженная в мкР/час.</w:t>
      </w:r>
      <w:r>
        <w:rPr>
          <w:rStyle w:val="aa"/>
        </w:rPr>
        <w:footnoteReference w:customMarkFollows="1" w:id="4"/>
        <w:sym w:font="Symbol" w:char="F02A"/>
      </w:r>
      <w:r>
        <w:rPr>
          <w:rStyle w:val="aa"/>
        </w:rPr>
        <w:t xml:space="preserve"> </w:t>
      </w:r>
    </w:p>
    <w:p w14:paraId="60850429" w14:textId="77777777" w:rsidR="00344A08" w:rsidRDefault="00344A08">
      <w:pPr>
        <w:pStyle w:val="bodytext"/>
      </w:pPr>
      <w:r>
        <w:t>5.2. При оценке доз внешнего облучения по формуле (1) для нас</w:t>
      </w:r>
      <w:r>
        <w:t>е</w:t>
      </w:r>
      <w:r>
        <w:t>ления, проживающего на территории с техногенно измененным ради</w:t>
      </w:r>
      <w:r>
        <w:t>а</w:t>
      </w:r>
      <w:r>
        <w:t>ционным фоном, вклад техногенного загрязнения учитывается автом</w:t>
      </w:r>
      <w:r>
        <w:t>а</w:t>
      </w:r>
      <w:r>
        <w:t>тически в показаниях доз</w:t>
      </w:r>
      <w:r>
        <w:t>и</w:t>
      </w:r>
      <w:r>
        <w:t xml:space="preserve">метров </w:t>
      </w:r>
      <w:r>
        <w:rPr>
          <w:i/>
        </w:rPr>
        <w:t>Н</w:t>
      </w:r>
      <w:r>
        <w:rPr>
          <w:i/>
          <w:vertAlign w:val="subscript"/>
        </w:rPr>
        <w:t>1</w:t>
      </w:r>
      <w:r>
        <w:t>.</w:t>
      </w:r>
    </w:p>
    <w:p w14:paraId="69FD779A" w14:textId="77777777" w:rsidR="00344A08" w:rsidRDefault="00344A08">
      <w:pPr>
        <w:pStyle w:val="bodytext"/>
      </w:pPr>
      <w:r>
        <w:t>5.3. Для расчетов эффективных доз внешнего облучения жителей мощность дозы гамма-излучения (</w:t>
      </w:r>
      <w:r>
        <w:rPr>
          <w:i/>
        </w:rPr>
        <w:t>Н</w:t>
      </w:r>
      <w:r>
        <w:rPr>
          <w:i/>
          <w:vertAlign w:val="subscript"/>
        </w:rPr>
        <w:t>i</w:t>
      </w:r>
      <w:r>
        <w:t>) в помещениях и на открытой те</w:t>
      </w:r>
      <w:r>
        <w:t>р</w:t>
      </w:r>
      <w:r>
        <w:t>ритории должна определяться с учетом уровня собственного фона д</w:t>
      </w:r>
      <w:r>
        <w:t>о</w:t>
      </w:r>
      <w:r>
        <w:t>зиметра (</w:t>
      </w:r>
      <w:r>
        <w:rPr>
          <w:i/>
        </w:rPr>
        <w:t>Н</w:t>
      </w:r>
      <w:r>
        <w:rPr>
          <w:vertAlign w:val="subscript"/>
        </w:rPr>
        <w:t>ф</w:t>
      </w:r>
      <w:r>
        <w:t>) и отклика его на космическое излучение (</w:t>
      </w:r>
      <w:r>
        <w:rPr>
          <w:i/>
        </w:rPr>
        <w:t>Н</w:t>
      </w:r>
      <w:r>
        <w:rPr>
          <w:vertAlign w:val="subscript"/>
        </w:rPr>
        <w:t>к</w:t>
      </w:r>
      <w:r>
        <w:t>) по формуле:</w:t>
      </w:r>
    </w:p>
    <w:p w14:paraId="3BE23F90" w14:textId="77777777" w:rsidR="00344A08" w:rsidRDefault="00344A08">
      <w:pPr>
        <w:tabs>
          <w:tab w:val="center" w:pos="4111"/>
        </w:tabs>
        <w:spacing w:before="120" w:after="120"/>
        <w:jc w:val="center"/>
      </w:pPr>
      <w:r>
        <w:rPr>
          <w:i/>
        </w:rPr>
        <w:t>Н</w:t>
      </w:r>
      <w:r>
        <w:rPr>
          <w:i/>
          <w:vertAlign w:val="subscript"/>
        </w:rPr>
        <w:t>i</w:t>
      </w:r>
      <w:r>
        <w:t xml:space="preserve"> =</w:t>
      </w:r>
      <w:r>
        <w:rPr>
          <w:i/>
        </w:rPr>
        <w:t xml:space="preserve"> Н</w:t>
      </w:r>
      <w:r>
        <w:rPr>
          <w:vertAlign w:val="subscript"/>
        </w:rPr>
        <w:t>1</w:t>
      </w:r>
      <w:r>
        <w:t xml:space="preserve"> – (</w:t>
      </w:r>
      <w:r>
        <w:rPr>
          <w:i/>
        </w:rPr>
        <w:t>Н</w:t>
      </w:r>
      <w:r>
        <w:rPr>
          <w:vertAlign w:val="subscript"/>
        </w:rPr>
        <w:t>ф</w:t>
      </w:r>
      <w:r>
        <w:t xml:space="preserve"> + </w:t>
      </w:r>
      <w:r>
        <w:rPr>
          <w:i/>
        </w:rPr>
        <w:t>Н</w:t>
      </w:r>
      <w:r>
        <w:rPr>
          <w:vertAlign w:val="subscript"/>
        </w:rPr>
        <w:t>к</w:t>
      </w:r>
      <w:r>
        <w:t>), где</w:t>
      </w:r>
      <w:r>
        <w:tab/>
        <w:t>(2)</w:t>
      </w:r>
    </w:p>
    <w:p w14:paraId="71AD5160" w14:textId="77777777" w:rsidR="00344A08" w:rsidRDefault="00344A08">
      <w:pPr>
        <w:pStyle w:val="bodytext"/>
      </w:pPr>
      <w:r>
        <w:rPr>
          <w:i/>
        </w:rPr>
        <w:t>Н</w:t>
      </w:r>
      <w:r>
        <w:rPr>
          <w:i/>
          <w:vertAlign w:val="subscript"/>
        </w:rPr>
        <w:t>1</w:t>
      </w:r>
      <w:r>
        <w:rPr>
          <w:b/>
          <w:i/>
        </w:rPr>
        <w:t xml:space="preserve"> </w:t>
      </w:r>
      <w:r>
        <w:t>– показания дозиметра в точке измерений.</w:t>
      </w:r>
    </w:p>
    <w:p w14:paraId="2117B674" w14:textId="77777777" w:rsidR="00344A08" w:rsidRDefault="00344A08">
      <w:pPr>
        <w:pStyle w:val="bodytext"/>
      </w:pPr>
      <w:r>
        <w:t>Численное значение параметра (</w:t>
      </w:r>
      <w:r>
        <w:rPr>
          <w:i/>
        </w:rPr>
        <w:t>Н</w:t>
      </w:r>
      <w:r>
        <w:rPr>
          <w:vertAlign w:val="subscript"/>
        </w:rPr>
        <w:t>ф</w:t>
      </w:r>
      <w:r>
        <w:t xml:space="preserve"> + </w:t>
      </w:r>
      <w:r>
        <w:rPr>
          <w:i/>
        </w:rPr>
        <w:t>Н</w:t>
      </w:r>
      <w:r>
        <w:rPr>
          <w:vertAlign w:val="subscript"/>
        </w:rPr>
        <w:t>к</w:t>
      </w:r>
      <w:r>
        <w:t>) определяется для к</w:t>
      </w:r>
      <w:r>
        <w:t>а</w:t>
      </w:r>
      <w:r>
        <w:t>ждого дозиметра индивидуально путем многократных измерений, выполне</w:t>
      </w:r>
      <w:r>
        <w:t>н</w:t>
      </w:r>
      <w:r>
        <w:t xml:space="preserve">ных над водной поверхностью при глубине воды не менее </w:t>
      </w:r>
      <w:smartTag w:uri="urn:schemas-microsoft-com:office:smarttags" w:element="metricconverter">
        <w:smartTagPr>
          <w:attr w:name="ProductID" w:val="5 м"/>
        </w:smartTagPr>
        <w:r>
          <w:t>5 м</w:t>
        </w:r>
      </w:smartTag>
      <w:r>
        <w:t xml:space="preserve"> на ра</w:t>
      </w:r>
      <w:r>
        <w:t>с</w:t>
      </w:r>
      <w:r>
        <w:t xml:space="preserve">стоянии от берега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или более.</w:t>
      </w:r>
    </w:p>
    <w:p w14:paraId="25BF4D3E" w14:textId="77777777" w:rsidR="00344A08" w:rsidRDefault="00344A08">
      <w:pPr>
        <w:pStyle w:val="bodytext"/>
        <w:rPr>
          <w:spacing w:val="-2"/>
        </w:rPr>
      </w:pPr>
      <w:r>
        <w:rPr>
          <w:spacing w:val="-2"/>
        </w:rPr>
        <w:t>5.4. При оценке доз внешнего облучения населения, прожива</w:t>
      </w:r>
      <w:r>
        <w:rPr>
          <w:spacing w:val="-2"/>
        </w:rPr>
        <w:t>ю</w:t>
      </w:r>
      <w:r>
        <w:rPr>
          <w:spacing w:val="-2"/>
        </w:rPr>
        <w:t>щего на территории с техногенно измененным радиационным фоном в резул</w:t>
      </w:r>
      <w:r>
        <w:rPr>
          <w:spacing w:val="-2"/>
        </w:rPr>
        <w:t>ь</w:t>
      </w:r>
      <w:r>
        <w:rPr>
          <w:spacing w:val="-2"/>
        </w:rPr>
        <w:t>тате аварий прошлых лет или иным причинам, в показания дозиметров может вносить вклад излучение искусственных радиону</w:t>
      </w:r>
      <w:r>
        <w:rPr>
          <w:spacing w:val="-2"/>
        </w:rPr>
        <w:t>к</w:t>
      </w:r>
      <w:r>
        <w:rPr>
          <w:spacing w:val="-2"/>
        </w:rPr>
        <w:t>лидов. При оценке доз внешнего облучения населения на этих терр</w:t>
      </w:r>
      <w:r>
        <w:rPr>
          <w:spacing w:val="-2"/>
        </w:rPr>
        <w:t>и</w:t>
      </w:r>
      <w:r>
        <w:rPr>
          <w:spacing w:val="-2"/>
        </w:rPr>
        <w:t>ториях этот вклад, определяемый по специальным методическим ук</w:t>
      </w:r>
      <w:r>
        <w:rPr>
          <w:spacing w:val="-2"/>
        </w:rPr>
        <w:t>а</w:t>
      </w:r>
      <w:r>
        <w:rPr>
          <w:spacing w:val="-2"/>
        </w:rPr>
        <w:t>заниям, должен быть вычтен из показаний дозиметров. Это необходимо делать в тех сл</w:t>
      </w:r>
      <w:r>
        <w:rPr>
          <w:spacing w:val="-2"/>
        </w:rPr>
        <w:t>у</w:t>
      </w:r>
      <w:r>
        <w:rPr>
          <w:spacing w:val="-2"/>
        </w:rPr>
        <w:t>чаях, когда вклад искусственных радионуклидов во внешнее облучение населения превышает 10 % от эффективных доз внешнего облучения н</w:t>
      </w:r>
      <w:r>
        <w:rPr>
          <w:spacing w:val="-2"/>
        </w:rPr>
        <w:t>а</w:t>
      </w:r>
      <w:r>
        <w:rPr>
          <w:spacing w:val="-2"/>
        </w:rPr>
        <w:t>селения природными исто</w:t>
      </w:r>
      <w:r>
        <w:rPr>
          <w:spacing w:val="-2"/>
        </w:rPr>
        <w:t>ч</w:t>
      </w:r>
      <w:r>
        <w:rPr>
          <w:spacing w:val="-2"/>
        </w:rPr>
        <w:t>никами.</w:t>
      </w:r>
    </w:p>
    <w:p w14:paraId="370319D7" w14:textId="77777777" w:rsidR="00344A08" w:rsidRDefault="00344A08">
      <w:pPr>
        <w:pStyle w:val="bodytext"/>
      </w:pPr>
      <w:r>
        <w:t>5.5. К расчетному значению дозы внешнего облучения, пол</w:t>
      </w:r>
      <w:r>
        <w:t>у</w:t>
      </w:r>
      <w:r>
        <w:t>ченной по формуле (1), необходимо добавить составляющую космического и</w:t>
      </w:r>
      <w:r>
        <w:t>з</w:t>
      </w:r>
      <w:r>
        <w:t>лучения, вклад которого в эффективную дозу внешнего облучения нас</w:t>
      </w:r>
      <w:r>
        <w:t>е</w:t>
      </w:r>
      <w:r>
        <w:t>ления составляет 0,40 мЗв/год (принимается одинаковой для всех р</w:t>
      </w:r>
      <w:r>
        <w:t>е</w:t>
      </w:r>
      <w:r>
        <w:t>гионов страны).</w:t>
      </w:r>
    </w:p>
    <w:p w14:paraId="0D03308A" w14:textId="77777777" w:rsidR="00344A08" w:rsidRDefault="00344A08">
      <w:pPr>
        <w:pStyle w:val="Zag1"/>
        <w:spacing w:line="228" w:lineRule="auto"/>
      </w:pPr>
      <w:bookmarkStart w:id="6" w:name="_Toc1442114"/>
      <w:r>
        <w:lastRenderedPageBreak/>
        <w:t xml:space="preserve">6. Определение индивидуальных эффективных доз внутреннего облучения населения за счет изотопов радона </w:t>
      </w:r>
      <w:r>
        <w:rPr>
          <w:noProof w:val="0"/>
        </w:rPr>
        <w:br/>
      </w:r>
      <w:r>
        <w:t>и их короткоживущих дочерних продуктов в воздухе</w:t>
      </w:r>
      <w:bookmarkEnd w:id="6"/>
    </w:p>
    <w:p w14:paraId="4E69D308" w14:textId="77777777" w:rsidR="00344A08" w:rsidRDefault="00344A08">
      <w:pPr>
        <w:pStyle w:val="bodytext"/>
        <w:spacing w:line="228" w:lineRule="auto"/>
      </w:pPr>
      <w:r>
        <w:t>6.1. Значение индивидуальной годовой эффективной дозы вну</w:t>
      </w:r>
      <w:r>
        <w:t>т</w:t>
      </w:r>
      <w:r>
        <w:t>реннего облучения взрослых жителей населенного пункта (ра</w:t>
      </w:r>
      <w:r>
        <w:t>й</w:t>
      </w:r>
      <w:r>
        <w:t>она и т. п.) за счет короткоживущих дочерних продуктов изотопов радона в воздухе рассчитывается по данным измерений ЭРОА из</w:t>
      </w:r>
      <w:r>
        <w:t>о</w:t>
      </w:r>
      <w:r>
        <w:t>топов радона в воздухе помещений и атмосферном воздухе на те</w:t>
      </w:r>
      <w:r>
        <w:t>р</w:t>
      </w:r>
      <w:r>
        <w:t>ритории населенного пункта (района и т. п.) по форм</w:t>
      </w:r>
      <w:r>
        <w:t>у</w:t>
      </w:r>
      <w:r>
        <w:t>ле:</w:t>
      </w:r>
    </w:p>
    <w:p w14:paraId="4CD1BCE3" w14:textId="77777777" w:rsidR="00344A08" w:rsidRDefault="00344A08">
      <w:pPr>
        <w:tabs>
          <w:tab w:val="center" w:pos="5245"/>
        </w:tabs>
        <w:spacing w:before="60" w:after="60" w:line="228" w:lineRule="auto"/>
        <w:jc w:val="center"/>
      </w:pPr>
      <w:r>
        <w:rPr>
          <w:position w:val="-28"/>
          <w:sz w:val="24"/>
        </w:rPr>
        <w:object w:dxaOrig="4400" w:dyaOrig="660" w14:anchorId="24F7E342">
          <v:shape id="_x0000_i1029" type="#_x0000_t75" style="width:220.2pt;height:33pt" o:ole="" fillcolor="window">
            <v:imagedata r:id="rId20" o:title=""/>
          </v:shape>
          <o:OLEObject Type="Embed" ProgID="Equation.3" ShapeID="_x0000_i1029" DrawAspect="Content" ObjectID="_1652793518" r:id="rId21"/>
        </w:object>
      </w:r>
      <w:r>
        <w:tab/>
        <w:t>(3)</w:t>
      </w:r>
    </w:p>
    <w:p w14:paraId="25482848" w14:textId="77777777" w:rsidR="00344A08" w:rsidRDefault="00344A08">
      <w:pPr>
        <w:pStyle w:val="bodytext"/>
        <w:spacing w:line="228" w:lineRule="auto"/>
        <w:ind w:firstLine="0"/>
      </w:pPr>
      <w:r>
        <w:t>в которой приняты следующие обозначения:</w:t>
      </w:r>
    </w:p>
    <w:p w14:paraId="5C3E2780" w14:textId="77777777" w:rsidR="00344A08" w:rsidRDefault="00344A08">
      <w:pPr>
        <w:pStyle w:val="bodytext"/>
        <w:spacing w:line="228" w:lineRule="auto"/>
        <w:rPr>
          <w:spacing w:val="-4"/>
        </w:rPr>
      </w:pPr>
      <w:r>
        <w:rPr>
          <w:spacing w:val="-4"/>
        </w:rPr>
        <w:t>9,0 · 10</w:t>
      </w:r>
      <w:r>
        <w:rPr>
          <w:spacing w:val="-4"/>
          <w:vertAlign w:val="superscript"/>
        </w:rPr>
        <w:t>–6</w:t>
      </w:r>
      <w:r>
        <w:rPr>
          <w:spacing w:val="-4"/>
        </w:rPr>
        <w:t xml:space="preserve"> – дозовый коэффициент [в единицах </w:t>
      </w:r>
      <w:r>
        <w:rPr>
          <w:i/>
          <w:spacing w:val="-4"/>
        </w:rPr>
        <w:t>мЗв/(час</w:t>
      </w:r>
      <w:r>
        <w:rPr>
          <w:i/>
          <w:spacing w:val="-4"/>
        </w:rPr>
        <w:sym w:font="Symbol" w:char="F0D7"/>
      </w:r>
      <w:r>
        <w:rPr>
          <w:i/>
          <w:spacing w:val="-4"/>
        </w:rPr>
        <w:t>Бк/м</w:t>
      </w:r>
      <w:r>
        <w:rPr>
          <w:i/>
          <w:spacing w:val="-4"/>
          <w:vertAlign w:val="superscript"/>
        </w:rPr>
        <w:t>3</w:t>
      </w:r>
      <w:r>
        <w:rPr>
          <w:spacing w:val="-4"/>
        </w:rPr>
        <w:t>)], прин</w:t>
      </w:r>
      <w:r>
        <w:rPr>
          <w:spacing w:val="-4"/>
        </w:rPr>
        <w:t>и</w:t>
      </w:r>
      <w:r>
        <w:rPr>
          <w:spacing w:val="-4"/>
        </w:rPr>
        <w:t xml:space="preserve">маемый в соответствии с докладом НК ДАР ООН за </w:t>
      </w:r>
      <w:smartTag w:uri="urn:schemas-microsoft-com:office:smarttags" w:element="metricconverter">
        <w:smartTagPr>
          <w:attr w:name="ProductID" w:val="2000 г"/>
        </w:smartTagPr>
        <w:r>
          <w:rPr>
            <w:spacing w:val="-4"/>
          </w:rPr>
          <w:t>2000 г</w:t>
        </w:r>
      </w:smartTag>
      <w:r>
        <w:rPr>
          <w:spacing w:val="-4"/>
        </w:rPr>
        <w:t xml:space="preserve">. [4]. </w:t>
      </w:r>
    </w:p>
    <w:p w14:paraId="577E2F11" w14:textId="77777777" w:rsidR="00344A08" w:rsidRDefault="00344A08">
      <w:pPr>
        <w:pStyle w:val="bodytext"/>
        <w:spacing w:line="228" w:lineRule="auto"/>
      </w:pPr>
      <w:r>
        <w:rPr>
          <w:position w:val="-6"/>
        </w:rPr>
        <w:object w:dxaOrig="480" w:dyaOrig="300" w14:anchorId="54D61113">
          <v:shape id="_x0000_i1030" type="#_x0000_t75" style="width:24pt;height:15pt" o:ole="" fillcolor="window">
            <v:imagedata r:id="rId22" o:title=""/>
          </v:shape>
          <o:OLEObject Type="Embed" ProgID="Equation.3" ShapeID="_x0000_i1030" DrawAspect="Content" ObjectID="_1652793519" r:id="rId23"/>
        </w:object>
      </w:r>
      <w:r>
        <w:t xml:space="preserve"> – среднее значение ЭРОА изотопов радона в воздухе на о</w:t>
      </w:r>
      <w:r>
        <w:t>т</w:t>
      </w:r>
      <w:r>
        <w:t>крытой территории населенного пункта (индекс «</w:t>
      </w:r>
      <w:r>
        <w:rPr>
          <w:i/>
        </w:rPr>
        <w:t>ул.</w:t>
      </w:r>
      <w:r>
        <w:t>») и жилых и общ</w:t>
      </w:r>
      <w:r>
        <w:t>е</w:t>
      </w:r>
      <w:r>
        <w:t xml:space="preserve">ственных зданиях </w:t>
      </w:r>
      <w:r>
        <w:rPr>
          <w:i/>
        </w:rPr>
        <w:t>(«здан.»</w:t>
      </w:r>
      <w:r>
        <w:t>) соо</w:t>
      </w:r>
      <w:r>
        <w:t>т</w:t>
      </w:r>
      <w:r>
        <w:t>ветственно.</w:t>
      </w:r>
    </w:p>
    <w:p w14:paraId="1EE089A7" w14:textId="77777777" w:rsidR="00344A08" w:rsidRDefault="00344A08">
      <w:pPr>
        <w:pStyle w:val="bodytext"/>
        <w:spacing w:line="228" w:lineRule="auto"/>
      </w:pPr>
      <w:r>
        <w:t>Остальные обозначения в (3) те же, что и в формуле (1).</w:t>
      </w:r>
    </w:p>
    <w:p w14:paraId="270D836B" w14:textId="77777777" w:rsidR="00344A08" w:rsidRDefault="00344A08">
      <w:pPr>
        <w:pStyle w:val="bodytext"/>
        <w:spacing w:line="228" w:lineRule="auto"/>
      </w:pPr>
      <w:r>
        <w:t xml:space="preserve">6.2. Значение </w:t>
      </w:r>
      <w:r>
        <w:rPr>
          <w:i/>
        </w:rPr>
        <w:t>Е</w:t>
      </w:r>
      <w:r>
        <w:rPr>
          <w:i/>
          <w:vertAlign w:val="superscript"/>
        </w:rPr>
        <w:t>вн.,</w:t>
      </w:r>
      <w:r>
        <w:rPr>
          <w:i/>
          <w:vertAlign w:val="superscript"/>
          <w:lang w:val="en-US"/>
        </w:rPr>
        <w:t>Rn</w:t>
      </w:r>
      <w:r>
        <w:t>, полученное по формуле (3), характеризует э</w:t>
      </w:r>
      <w:r>
        <w:t>ф</w:t>
      </w:r>
      <w:r>
        <w:t>фективную дозу внутреннего облучения населения за счет ингал</w:t>
      </w:r>
      <w:r>
        <w:t>я</w:t>
      </w:r>
      <w:r>
        <w:t>ции короткоживущих дочерних пр</w:t>
      </w:r>
      <w:r>
        <w:t>о</w:t>
      </w:r>
      <w:r>
        <w:t xml:space="preserve">дуктов изотопов радона. </w:t>
      </w:r>
    </w:p>
    <w:p w14:paraId="4C7758BE" w14:textId="77777777" w:rsidR="00344A08" w:rsidRDefault="00344A08">
      <w:pPr>
        <w:pStyle w:val="bodytext"/>
        <w:spacing w:line="228" w:lineRule="auto"/>
      </w:pPr>
      <w:r>
        <w:t xml:space="preserve">Материнские радионуклиды, – </w:t>
      </w:r>
      <w:r>
        <w:rPr>
          <w:vertAlign w:val="superscript"/>
        </w:rPr>
        <w:t>220</w:t>
      </w:r>
      <w:r>
        <w:t xml:space="preserve">Rn и </w:t>
      </w:r>
      <w:r>
        <w:rPr>
          <w:vertAlign w:val="superscript"/>
        </w:rPr>
        <w:t>222</w:t>
      </w:r>
      <w:r>
        <w:t>Rn вносят дополнител</w:t>
      </w:r>
      <w:r>
        <w:t>ь</w:t>
      </w:r>
      <w:r>
        <w:t>ный вклад в эту дозу, составляющую примерно 5 % от дозы о</w:t>
      </w:r>
      <w:r>
        <w:t>б</w:t>
      </w:r>
      <w:r>
        <w:t>лучения за счет короткоживущих дочерних продуктов радона и т</w:t>
      </w:r>
      <w:r>
        <w:t>о</w:t>
      </w:r>
      <w:r>
        <w:t>рона. Этот вклад при расчете доз облучения населения за счет из</w:t>
      </w:r>
      <w:r>
        <w:t>о</w:t>
      </w:r>
      <w:r>
        <w:t>топов радона в воздухе помещений следует учитывать введением численного коэфф</w:t>
      </w:r>
      <w:r>
        <w:t>и</w:t>
      </w:r>
      <w:r>
        <w:t>циента 1,05 в формуле (8).</w:t>
      </w:r>
    </w:p>
    <w:p w14:paraId="199445B2" w14:textId="77777777" w:rsidR="00344A08" w:rsidRDefault="00344A08">
      <w:pPr>
        <w:pStyle w:val="bodytext"/>
        <w:tabs>
          <w:tab w:val="center" w:pos="4111"/>
        </w:tabs>
        <w:spacing w:line="228" w:lineRule="auto"/>
      </w:pPr>
      <w:r>
        <w:t>6.3. Если для атмосферного воздуха на территории данного нас</w:t>
      </w:r>
      <w:r>
        <w:t>е</w:t>
      </w:r>
      <w:r>
        <w:t xml:space="preserve">ленного пункта (района и т. п.) данные о значениях </w:t>
      </w:r>
      <w:r>
        <w:rPr>
          <w:position w:val="-8"/>
        </w:rPr>
        <w:object w:dxaOrig="580" w:dyaOrig="320" w14:anchorId="3359E54A">
          <v:shape id="_x0000_i1031" type="#_x0000_t75" style="width:28.8pt;height:16.2pt" o:ole="" fillcolor="window">
            <v:imagedata r:id="rId24" o:title=""/>
          </v:shape>
          <o:OLEObject Type="Embed" ProgID="Equation.3" ShapeID="_x0000_i1031" DrawAspect="Content" ObjectID="_1652793520" r:id="rId25"/>
        </w:object>
      </w:r>
      <w:r>
        <w:t xml:space="preserve"> отсу</w:t>
      </w:r>
      <w:r>
        <w:t>т</w:t>
      </w:r>
      <w:r>
        <w:t>ствуют, то для расчетов доз облучения населения за счет этого фа</w:t>
      </w:r>
      <w:r>
        <w:t>к</w:t>
      </w:r>
      <w:r>
        <w:t xml:space="preserve">тора следует принимать </w:t>
      </w:r>
      <w:r>
        <w:rPr>
          <w:position w:val="-8"/>
        </w:rPr>
        <w:object w:dxaOrig="1040" w:dyaOrig="320" w14:anchorId="1ABE0421">
          <v:shape id="_x0000_i1032" type="#_x0000_t75" style="width:52.2pt;height:16.2pt" o:ole="" fillcolor="window">
            <v:imagedata r:id="rId26" o:title=""/>
          </v:shape>
          <o:OLEObject Type="Embed" ProgID="Equation.3" ShapeID="_x0000_i1032" DrawAspect="Content" ObjectID="_1652793521" r:id="rId27"/>
        </w:object>
      </w:r>
      <w:r>
        <w:t xml:space="preserve"> Бк/м</w:t>
      </w:r>
      <w:r>
        <w:rPr>
          <w:vertAlign w:val="superscript"/>
        </w:rPr>
        <w:t>3</w:t>
      </w:r>
      <w:r>
        <w:t xml:space="preserve"> в соответствии с данными [4] о среднем</w:t>
      </w:r>
      <w:r>
        <w:t>и</w:t>
      </w:r>
      <w:r>
        <w:t>ровых значениях ЭРОА изотопов радона в приземном слое атмосферн</w:t>
      </w:r>
      <w:r>
        <w:t>о</w:t>
      </w:r>
      <w:r>
        <w:t>го возд</w:t>
      </w:r>
      <w:r>
        <w:t>у</w:t>
      </w:r>
      <w:r>
        <w:t>ха.</w:t>
      </w:r>
    </w:p>
    <w:p w14:paraId="68427AE1" w14:textId="77777777" w:rsidR="00344A08" w:rsidRDefault="00344A08">
      <w:pPr>
        <w:pStyle w:val="bodytext"/>
        <w:spacing w:line="228" w:lineRule="auto"/>
      </w:pPr>
      <w:r>
        <w:t>6.4. Среднегодовое значение ЭРОА изотопов радона в воздухе ра</w:t>
      </w:r>
      <w:r>
        <w:t>с</w:t>
      </w:r>
      <w:r>
        <w:t>считывается по форм</w:t>
      </w:r>
      <w:r>
        <w:t>у</w:t>
      </w:r>
      <w:r>
        <w:t>ле:</w:t>
      </w:r>
    </w:p>
    <w:p w14:paraId="5970F2F0" w14:textId="77777777" w:rsidR="00344A08" w:rsidRDefault="00344A08">
      <w:pPr>
        <w:tabs>
          <w:tab w:val="center" w:pos="4536"/>
        </w:tabs>
        <w:spacing w:before="60" w:after="60" w:line="228" w:lineRule="auto"/>
        <w:ind w:firstLine="709"/>
        <w:jc w:val="center"/>
        <w:rPr>
          <w:sz w:val="24"/>
        </w:rPr>
      </w:pPr>
      <w:r>
        <w:rPr>
          <w:position w:val="-12"/>
          <w:sz w:val="24"/>
        </w:rPr>
        <w:object w:dxaOrig="2160" w:dyaOrig="320" w14:anchorId="06B11AF7">
          <v:shape id="_x0000_i1033" type="#_x0000_t75" style="width:108pt;height:16.2pt" o:ole="" fillcolor="window">
            <v:imagedata r:id="rId28" o:title=""/>
          </v:shape>
          <o:OLEObject Type="Embed" ProgID="Equation.3" ShapeID="_x0000_i1033" DrawAspect="Content" ObjectID="_1652793522" r:id="rId29"/>
        </w:object>
      </w:r>
      <w:r>
        <w:rPr>
          <w:sz w:val="24"/>
        </w:rPr>
        <w:t xml:space="preserve">, </w:t>
      </w:r>
      <w:r>
        <w:tab/>
        <w:t>(4)</w:t>
      </w:r>
    </w:p>
    <w:p w14:paraId="5D24BBED" w14:textId="77777777" w:rsidR="00344A08" w:rsidRDefault="00344A08">
      <w:pPr>
        <w:pStyle w:val="bodytext"/>
        <w:spacing w:line="228" w:lineRule="auto"/>
        <w:ind w:firstLine="0"/>
      </w:pPr>
      <w:r>
        <w:lastRenderedPageBreak/>
        <w:t xml:space="preserve">в которой </w:t>
      </w:r>
      <w:r>
        <w:rPr>
          <w:i/>
        </w:rPr>
        <w:t>А</w:t>
      </w:r>
      <w:r>
        <w:rPr>
          <w:i/>
          <w:vertAlign w:val="subscript"/>
        </w:rPr>
        <w:t>экв,</w:t>
      </w:r>
      <w:r>
        <w:rPr>
          <w:i/>
          <w:vertAlign w:val="subscript"/>
          <w:lang w:val="en-US"/>
        </w:rPr>
        <w:t>Rn</w:t>
      </w:r>
      <w:r w:rsidRPr="00ED5E78">
        <w:rPr>
          <w:i/>
          <w:vertAlign w:val="subscript"/>
        </w:rPr>
        <w:t xml:space="preserve"> </w:t>
      </w:r>
      <w:r>
        <w:t xml:space="preserve">и </w:t>
      </w:r>
      <w:r>
        <w:rPr>
          <w:i/>
        </w:rPr>
        <w:t>А</w:t>
      </w:r>
      <w:r>
        <w:rPr>
          <w:i/>
          <w:vertAlign w:val="subscript"/>
        </w:rPr>
        <w:t>экв,</w:t>
      </w:r>
      <w:r>
        <w:rPr>
          <w:i/>
          <w:vertAlign w:val="subscript"/>
          <w:lang w:val="en-US"/>
        </w:rPr>
        <w:t>Tn</w:t>
      </w:r>
      <w:r w:rsidRPr="00ED5E78">
        <w:rPr>
          <w:i/>
          <w:vertAlign w:val="subscript"/>
        </w:rPr>
        <w:t xml:space="preserve"> </w:t>
      </w:r>
      <w:r>
        <w:t>– среднегодовая эквивалентная равновесная объемная активность радона и торона в воздухе соответс</w:t>
      </w:r>
      <w:r>
        <w:t>т</w:t>
      </w:r>
      <w:r>
        <w:t>венно.</w:t>
      </w:r>
    </w:p>
    <w:p w14:paraId="654A4BA9" w14:textId="77777777" w:rsidR="00344A08" w:rsidRDefault="00344A08">
      <w:pPr>
        <w:pStyle w:val="bodytext"/>
        <w:spacing w:line="228" w:lineRule="auto"/>
      </w:pPr>
      <w:r>
        <w:t>6.5. Требования по определению среднегодовых значений ЭРОА изотопов радона в воздухе помещений прив</w:t>
      </w:r>
      <w:r>
        <w:t>е</w:t>
      </w:r>
      <w:r>
        <w:t>дены в [1].</w:t>
      </w:r>
    </w:p>
    <w:p w14:paraId="6E45870E" w14:textId="77777777" w:rsidR="00344A08" w:rsidRDefault="00344A08">
      <w:pPr>
        <w:pStyle w:val="Zag1"/>
        <w:spacing w:line="228" w:lineRule="auto"/>
      </w:pPr>
      <w:bookmarkStart w:id="7" w:name="_Toc1442115"/>
      <w:r>
        <w:rPr>
          <w:spacing w:val="-2"/>
        </w:rPr>
        <w:object w:dxaOrig="0" w:dyaOrig="0" w14:anchorId="64DF7C23">
          <v:shape id="_x0000_s1027" type="#_x0000_t75" style="position:absolute;left:0;text-align:left;margin-left:823.85pt;margin-top:63pt;width:9pt;height:17pt;z-index:251657216" o:allowincell="f">
            <v:imagedata r:id="rId10" o:title=""/>
            <w10:wrap type="topAndBottom"/>
          </v:shape>
          <o:OLEObject Type="Embed" ProgID="Equation.3" ShapeID="_x0000_s1027" DrawAspect="Content" ObjectID="_1652793534" r:id="rId30"/>
        </w:object>
      </w:r>
      <w:r>
        <w:rPr>
          <w:spacing w:val="-2"/>
        </w:rPr>
        <w:t xml:space="preserve">7. Определение индивидуальных эффективных доз внутреннего </w:t>
      </w:r>
      <w:r>
        <w:t>облучения населения за счет долгоживущих природных радионуклидов в продуктах питания и питьевой воде</w:t>
      </w:r>
      <w:bookmarkEnd w:id="7"/>
    </w:p>
    <w:p w14:paraId="7C5B1D2B" w14:textId="77777777" w:rsidR="00344A08" w:rsidRDefault="00344A08">
      <w:pPr>
        <w:pStyle w:val="bodytext"/>
        <w:spacing w:line="228" w:lineRule="auto"/>
      </w:pPr>
      <w:r>
        <w:t>7.1. Значение индивидуальной годовой эффективной дозы вну</w:t>
      </w:r>
      <w:r>
        <w:t>т</w:t>
      </w:r>
      <w:r>
        <w:t>реннего облучения жителей за счет долгоживущих природных ради</w:t>
      </w:r>
      <w:r>
        <w:t>о</w:t>
      </w:r>
      <w:r>
        <w:t>нуклидов в продуктах питания и питьевой воде зависит от годового р</w:t>
      </w:r>
      <w:r>
        <w:t>а</w:t>
      </w:r>
      <w:r>
        <w:t>циона питания населения и водопотребления, содержания природных радионуклидов в компонентах рациона питания и воде источников питьевого водоснабжения.</w:t>
      </w:r>
    </w:p>
    <w:p w14:paraId="4E7AE8D7" w14:textId="77777777" w:rsidR="00344A08" w:rsidRDefault="00344A08">
      <w:pPr>
        <w:pStyle w:val="bodytext"/>
        <w:spacing w:line="228" w:lineRule="auto"/>
      </w:pPr>
      <w:r>
        <w:t>7.2. Среднее значение индивидуальной годовой эффективной дозы внутреннего облучения взрослых жителей за счет долгоживущих пр</w:t>
      </w:r>
      <w:r>
        <w:t>и</w:t>
      </w:r>
      <w:r>
        <w:t>родных радионуклидов в продуктах питания (</w:t>
      </w:r>
      <w:r>
        <w:rPr>
          <w:position w:val="-8"/>
        </w:rPr>
        <w:object w:dxaOrig="560" w:dyaOrig="320" w14:anchorId="53643951">
          <v:shape id="_x0000_i1034" type="#_x0000_t75" style="width:28.2pt;height:16.2pt" o:ole="" fillcolor="window">
            <v:imagedata r:id="rId31" o:title=""/>
          </v:shape>
          <o:OLEObject Type="Embed" ProgID="Equation.3" ShapeID="_x0000_i1034" DrawAspect="Content" ObjectID="_1652793523" r:id="rId32"/>
        </w:object>
      </w:r>
      <w:r>
        <w:t>) ра</w:t>
      </w:r>
      <w:r>
        <w:t>с</w:t>
      </w:r>
      <w:r>
        <w:t>считывается по формуле:</w:t>
      </w:r>
    </w:p>
    <w:p w14:paraId="5C436170" w14:textId="77777777" w:rsidR="00344A08" w:rsidRDefault="00344A08">
      <w:pPr>
        <w:pStyle w:val="30"/>
        <w:tabs>
          <w:tab w:val="left" w:pos="959"/>
          <w:tab w:val="center" w:pos="4536"/>
          <w:tab w:val="left" w:pos="7905"/>
        </w:tabs>
        <w:spacing w:before="60" w:line="228" w:lineRule="auto"/>
        <w:jc w:val="center"/>
      </w:pPr>
      <w:r>
        <w:rPr>
          <w:position w:val="-28"/>
        </w:rPr>
        <w:object w:dxaOrig="2079" w:dyaOrig="520" w14:anchorId="46F7AC1F">
          <v:shape id="_x0000_i1035" type="#_x0000_t75" style="width:103.8pt;height:25.8pt" o:ole="" fillcolor="window">
            <v:imagedata r:id="rId33" o:title=""/>
          </v:shape>
          <o:OLEObject Type="Embed" ProgID="Equation.3" ShapeID="_x0000_i1035" DrawAspect="Content" ObjectID="_1652793524" r:id="rId34"/>
        </w:object>
      </w:r>
      <w:r>
        <w:rPr>
          <w:sz w:val="20"/>
        </w:rPr>
        <w:t>, мЗв/год,</w:t>
      </w:r>
      <w:r>
        <w:rPr>
          <w:sz w:val="20"/>
        </w:rPr>
        <w:tab/>
        <w:t>(5)</w:t>
      </w:r>
    </w:p>
    <w:p w14:paraId="1FFDDDA8" w14:textId="77777777" w:rsidR="00344A08" w:rsidRDefault="00344A08">
      <w:pPr>
        <w:pStyle w:val="bodytext"/>
        <w:spacing w:line="228" w:lineRule="auto"/>
        <w:ind w:firstLine="0"/>
      </w:pPr>
      <w:r>
        <w:t>в которой приняты следующие обозначения:</w:t>
      </w:r>
    </w:p>
    <w:p w14:paraId="692D32F2" w14:textId="77777777" w:rsidR="00344A08" w:rsidRDefault="00344A08">
      <w:pPr>
        <w:pStyle w:val="bodytext"/>
        <w:spacing w:line="228" w:lineRule="auto"/>
      </w:pP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I</w:t>
      </w:r>
      <w:r w:rsidRPr="00ED5E78">
        <w:t xml:space="preserve"> –</w:t>
      </w:r>
      <w:r>
        <w:t xml:space="preserve"> среднее годовое потребление </w:t>
      </w:r>
      <w:r>
        <w:rPr>
          <w:i/>
        </w:rPr>
        <w:t>i</w:t>
      </w:r>
      <w:r>
        <w:t>-го продукта, кг/год;</w:t>
      </w:r>
    </w:p>
    <w:p w14:paraId="0608619B" w14:textId="77777777" w:rsidR="00344A08" w:rsidRDefault="00344A08">
      <w:pPr>
        <w:pStyle w:val="bodytext"/>
        <w:spacing w:line="228" w:lineRule="auto"/>
      </w:pPr>
      <w:r>
        <w:rPr>
          <w:position w:val="-12"/>
        </w:rPr>
        <w:object w:dxaOrig="360" w:dyaOrig="360" w14:anchorId="2692F6FB">
          <v:shape id="_x0000_i1036" type="#_x0000_t75" style="width:18pt;height:18pt" o:ole="" fillcolor="window">
            <v:imagedata r:id="rId35" o:title=""/>
          </v:shape>
          <o:OLEObject Type="Embed" ProgID="Equation.3" ShapeID="_x0000_i1036" DrawAspect="Content" ObjectID="_1652793525" r:id="rId36"/>
        </w:object>
      </w:r>
      <w:r w:rsidRPr="00ED5E78">
        <w:t>–</w:t>
      </w:r>
      <w:r>
        <w:t xml:space="preserve"> средняя удельная активность </w:t>
      </w:r>
      <w:r>
        <w:rPr>
          <w:i/>
        </w:rPr>
        <w:t>j</w:t>
      </w:r>
      <w:r>
        <w:t xml:space="preserve">-го радионуклида в </w:t>
      </w:r>
      <w:r>
        <w:rPr>
          <w:i/>
        </w:rPr>
        <w:t>i</w:t>
      </w:r>
      <w:r>
        <w:t>-ом ко</w:t>
      </w:r>
      <w:r>
        <w:t>м</w:t>
      </w:r>
      <w:r>
        <w:t>поненте рациона питания жителей населенного пункта (района и</w:t>
      </w:r>
      <w:r>
        <w:rPr>
          <w:lang w:val="en-US"/>
        </w:rPr>
        <w:t> </w:t>
      </w:r>
      <w:r>
        <w:t>т.</w:t>
      </w:r>
      <w:r>
        <w:rPr>
          <w:lang w:val="en-US"/>
        </w:rPr>
        <w:t> </w:t>
      </w:r>
      <w:r>
        <w:t>п.), Бк/кг;</w:t>
      </w:r>
    </w:p>
    <w:p w14:paraId="0A953C2C" w14:textId="77777777" w:rsidR="00344A08" w:rsidRDefault="00344A08">
      <w:pPr>
        <w:pStyle w:val="bodytext"/>
        <w:spacing w:line="228" w:lineRule="auto"/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pi</w:t>
      </w:r>
      <w:r w:rsidRPr="00ED5E78">
        <w:t xml:space="preserve"> –</w:t>
      </w:r>
      <w:r>
        <w:t xml:space="preserve"> дозовый коэффициент для </w:t>
      </w:r>
      <w:r>
        <w:rPr>
          <w:i/>
          <w:lang w:val="en-US"/>
        </w:rPr>
        <w:t>i</w:t>
      </w:r>
      <w:r>
        <w:t>-го радионуклида при его пер</w:t>
      </w:r>
      <w:r>
        <w:t>о</w:t>
      </w:r>
      <w:r>
        <w:t>ральном поступлении в организм с продуктами питания.</w:t>
      </w:r>
    </w:p>
    <w:p w14:paraId="1A3214B1" w14:textId="77777777" w:rsidR="00344A08" w:rsidRDefault="00344A08">
      <w:pPr>
        <w:pStyle w:val="bodytext"/>
        <w:spacing w:line="228" w:lineRule="auto"/>
      </w:pPr>
      <w:r>
        <w:t>Численные значения дозовых коэффициентов для основных ради</w:t>
      </w:r>
      <w:r>
        <w:t>о</w:t>
      </w:r>
      <w:r>
        <w:t>нуклидов рядов урана и тория приведены в прилож. 1.</w:t>
      </w:r>
    </w:p>
    <w:p w14:paraId="0E508054" w14:textId="77777777" w:rsidR="00344A08" w:rsidRDefault="00344A08">
      <w:pPr>
        <w:pStyle w:val="bodytext"/>
        <w:spacing w:line="228" w:lineRule="auto"/>
      </w:pPr>
      <w:r>
        <w:t>7.3.</w:t>
      </w:r>
      <w:r>
        <w:rPr>
          <w:lang w:val="en-US"/>
        </w:rPr>
        <w:t> </w:t>
      </w:r>
      <w:r>
        <w:t>Среднее значение индивидуальной годовой эффективной дозы внутреннего облучения взрослых жителей за счет долгоживущих пр</w:t>
      </w:r>
      <w:r>
        <w:t>и</w:t>
      </w:r>
      <w:r>
        <w:t>родных радионуклидов в питьевой воде (</w:t>
      </w:r>
      <w:r>
        <w:rPr>
          <w:position w:val="-8"/>
        </w:rPr>
        <w:object w:dxaOrig="560" w:dyaOrig="320" w14:anchorId="6F19CD3A">
          <v:shape id="_x0000_i1037" type="#_x0000_t75" style="width:28.2pt;height:16.2pt" o:ole="" fillcolor="window">
            <v:imagedata r:id="rId37" o:title=""/>
          </v:shape>
          <o:OLEObject Type="Embed" ProgID="Equation.3" ShapeID="_x0000_i1037" DrawAspect="Content" ObjectID="_1652793526" r:id="rId38"/>
        </w:object>
      </w:r>
      <w:r>
        <w:t>) рассчит</w:t>
      </w:r>
      <w:r>
        <w:t>ы</w:t>
      </w:r>
      <w:r>
        <w:t>вается по формуле</w:t>
      </w:r>
      <w:r>
        <w:rPr>
          <w:rStyle w:val="aa"/>
        </w:rPr>
        <w:footnoteReference w:customMarkFollows="1" w:id="5"/>
        <w:sym w:font="Symbol" w:char="F02A"/>
      </w:r>
      <w:r>
        <w:t>:</w:t>
      </w:r>
    </w:p>
    <w:p w14:paraId="4157C891" w14:textId="77777777" w:rsidR="00344A08" w:rsidRDefault="00344A08">
      <w:pPr>
        <w:pStyle w:val="30"/>
        <w:tabs>
          <w:tab w:val="left" w:pos="959"/>
          <w:tab w:val="center" w:pos="4536"/>
          <w:tab w:val="left" w:pos="7905"/>
        </w:tabs>
        <w:spacing w:before="60" w:line="228" w:lineRule="auto"/>
        <w:jc w:val="center"/>
      </w:pPr>
      <w:r>
        <w:rPr>
          <w:position w:val="-26"/>
        </w:rPr>
        <w:object w:dxaOrig="2120" w:dyaOrig="499" w14:anchorId="4BE3264D">
          <v:shape id="_x0000_i1038" type="#_x0000_t75" style="width:106.2pt;height:25.2pt" o:ole="" fillcolor="window">
            <v:imagedata r:id="rId39" o:title=""/>
          </v:shape>
          <o:OLEObject Type="Embed" ProgID="Equation.3" ShapeID="_x0000_i1038" DrawAspect="Content" ObjectID="_1652793527" r:id="rId40"/>
        </w:object>
      </w:r>
      <w:r>
        <w:t xml:space="preserve">, </w:t>
      </w:r>
      <w:r>
        <w:rPr>
          <w:sz w:val="20"/>
        </w:rPr>
        <w:t>мЗв/год,</w:t>
      </w:r>
      <w:r w:rsidRPr="00ED5E78">
        <w:rPr>
          <w:sz w:val="20"/>
        </w:rPr>
        <w:tab/>
      </w:r>
      <w:r>
        <w:rPr>
          <w:sz w:val="20"/>
        </w:rPr>
        <w:t>(6)</w:t>
      </w:r>
    </w:p>
    <w:p w14:paraId="5FB64967" w14:textId="77777777" w:rsidR="00344A08" w:rsidRDefault="00344A08">
      <w:pPr>
        <w:pStyle w:val="bodytext"/>
        <w:ind w:firstLine="0"/>
      </w:pPr>
      <w:r>
        <w:t>в которой приняты следующие обозначения:</w:t>
      </w:r>
    </w:p>
    <w:p w14:paraId="6F2ACF61" w14:textId="77777777" w:rsidR="00344A08" w:rsidRDefault="00344A08">
      <w:pPr>
        <w:pStyle w:val="bodytext"/>
      </w:pPr>
      <w:r>
        <w:rPr>
          <w:i/>
          <w:lang w:val="en-US"/>
        </w:rPr>
        <w:t>m</w:t>
      </w:r>
      <w:r w:rsidRPr="00ED5E78">
        <w:rPr>
          <w:i/>
          <w:vertAlign w:val="subscript"/>
        </w:rPr>
        <w:t>пв</w:t>
      </w:r>
      <w:r w:rsidRPr="00ED5E78">
        <w:t xml:space="preserve"> </w:t>
      </w:r>
      <w:r>
        <w:t>– среднее годовое потребление питьевой воды, кг/год;</w:t>
      </w:r>
    </w:p>
    <w:p w14:paraId="5862A9B5" w14:textId="77777777" w:rsidR="00344A08" w:rsidRDefault="00344A08">
      <w:pPr>
        <w:pStyle w:val="bodytext"/>
      </w:pPr>
      <w:r>
        <w:rPr>
          <w:position w:val="-10"/>
        </w:rPr>
        <w:object w:dxaOrig="279" w:dyaOrig="340" w14:anchorId="6441381B">
          <v:shape id="_x0000_i1039" type="#_x0000_t75" style="width:13.8pt;height:16.8pt" o:ole="" fillcolor="window">
            <v:imagedata r:id="rId41" o:title=""/>
          </v:shape>
          <o:OLEObject Type="Embed" ProgID="Equation.3" ShapeID="_x0000_i1039" DrawAspect="Content" ObjectID="_1652793528" r:id="rId42"/>
        </w:object>
      </w:r>
      <w:r>
        <w:t xml:space="preserve">– среднее значение удельной активности </w:t>
      </w:r>
      <w:r>
        <w:rPr>
          <w:i/>
        </w:rPr>
        <w:t>i</w:t>
      </w:r>
      <w:r>
        <w:t>-го радионуклида в воде источников питьевого водоснабжения жителей населенного пункта (района и т. п.), Бк/кг;</w:t>
      </w:r>
    </w:p>
    <w:p w14:paraId="5C156D21" w14:textId="77777777" w:rsidR="00344A08" w:rsidRDefault="00344A08">
      <w:pPr>
        <w:pStyle w:val="bodytext"/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p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i</w:t>
      </w:r>
      <w:r w:rsidRPr="00ED5E78">
        <w:t xml:space="preserve"> </w:t>
      </w:r>
      <w:r>
        <w:t>– дозовые коэффициенты, численные значения которых прин</w:t>
      </w:r>
      <w:r>
        <w:t>и</w:t>
      </w:r>
      <w:r>
        <w:t>маются в соответствии с данными в прил</w:t>
      </w:r>
      <w:r>
        <w:t>о</w:t>
      </w:r>
      <w:r>
        <w:t>ж. 1.</w:t>
      </w:r>
    </w:p>
    <w:p w14:paraId="3D0865CD" w14:textId="77777777" w:rsidR="00344A08" w:rsidRDefault="00344A08">
      <w:pPr>
        <w:pStyle w:val="bodytext"/>
      </w:pPr>
      <w:r>
        <w:t>7.4. При наличии достоверной информации об основных комп</w:t>
      </w:r>
      <w:r>
        <w:t>о</w:t>
      </w:r>
      <w:r>
        <w:t>нентах рациона питания населения и годовом потреблении пр</w:t>
      </w:r>
      <w:r>
        <w:t>о</w:t>
      </w:r>
      <w:r>
        <w:t>дуктов питания и питьевой воды, средние значения индивидуальной годовой эффективной дозы внутреннего облучения взрослых жит</w:t>
      </w:r>
      <w:r>
        <w:t>е</w:t>
      </w:r>
      <w:r>
        <w:t>лей за счет долгоживущих природных радионуклидов следует определять по фо</w:t>
      </w:r>
      <w:r>
        <w:t>р</w:t>
      </w:r>
      <w:r>
        <w:t>мулам пп. 7.2—7.3.</w:t>
      </w:r>
    </w:p>
    <w:p w14:paraId="06364903" w14:textId="77777777" w:rsidR="00344A08" w:rsidRDefault="00344A08">
      <w:pPr>
        <w:pStyle w:val="bodytext"/>
      </w:pPr>
      <w:r>
        <w:t>При отсутствии данных о рационе питания и годовом потре</w:t>
      </w:r>
      <w:r>
        <w:t>б</w:t>
      </w:r>
      <w:r>
        <w:t>лении продуктов питания и питьевой воды, расчеты допускается проводить исходя из данных по стандартному рациону питания, характерному для населения региона, и годовому потреблению пить</w:t>
      </w:r>
      <w:r>
        <w:t>е</w:t>
      </w:r>
      <w:r>
        <w:t>вой воды 730 кг/год.</w:t>
      </w:r>
    </w:p>
    <w:p w14:paraId="6B9B9BE7" w14:textId="77777777" w:rsidR="00344A08" w:rsidRDefault="00344A08">
      <w:pPr>
        <w:pStyle w:val="bodytext"/>
      </w:pPr>
      <w:r>
        <w:t>7.5. Среднемировое значение эффективной дозы облучения за счет поступления долгоживущих природных радионуклидов уран</w:t>
      </w:r>
      <w:r>
        <w:t>о</w:t>
      </w:r>
      <w:r>
        <w:t>вого и ториевого рядов с продуктами питания и питьевой водой с</w:t>
      </w:r>
      <w:r>
        <w:t>о</w:t>
      </w:r>
      <w:r>
        <w:t>ставляет 0,12 мЗв/год.</w:t>
      </w:r>
    </w:p>
    <w:p w14:paraId="4BB8E660" w14:textId="77777777" w:rsidR="00344A08" w:rsidRDefault="00344A08">
      <w:pPr>
        <w:pStyle w:val="bodytext"/>
      </w:pPr>
      <w:r>
        <w:t>Этой дозе облучения соответствует среднемировой рацион п</w:t>
      </w:r>
      <w:r>
        <w:t>и</w:t>
      </w:r>
      <w:r>
        <w:t>тания и соде</w:t>
      </w:r>
      <w:r>
        <w:t>р</w:t>
      </w:r>
      <w:r>
        <w:t>жание радионуклидов по табл. 1 [4].</w:t>
      </w:r>
    </w:p>
    <w:p w14:paraId="0F6ADBA7" w14:textId="77777777" w:rsidR="00344A08" w:rsidRDefault="00344A08">
      <w:pPr>
        <w:pStyle w:val="tabl"/>
      </w:pPr>
      <w:r>
        <w:t>Таблица 1</w:t>
      </w:r>
    </w:p>
    <w:p w14:paraId="117942EE" w14:textId="77777777" w:rsidR="00344A08" w:rsidRDefault="00344A08">
      <w:pPr>
        <w:pStyle w:val="TablZag"/>
      </w:pPr>
      <w:r>
        <w:t xml:space="preserve">Среднемировые значения содержания природных радионуклидов </w:t>
      </w:r>
      <w:r>
        <w:br/>
        <w:t>в основных компонентах рациона питания, мБк/кг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709"/>
        <w:gridCol w:w="709"/>
        <w:gridCol w:w="709"/>
        <w:gridCol w:w="709"/>
      </w:tblGrid>
      <w:tr w:rsidR="00344A08" w14:paraId="6D22368F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74094CD8" w14:textId="77777777" w:rsidR="00344A08" w:rsidRDefault="00344A08">
            <w:pPr>
              <w:pStyle w:val="TablCenter"/>
              <w:spacing w:line="228" w:lineRule="auto"/>
            </w:pPr>
            <w:r>
              <w:t>Продукт (потребление, кг/год)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D5F700" w14:textId="77777777" w:rsidR="00344A08" w:rsidRDefault="00344A08">
            <w:pPr>
              <w:pStyle w:val="TablCenter"/>
              <w:spacing w:line="228" w:lineRule="auto"/>
            </w:pPr>
            <w:r>
              <w:rPr>
                <w:vertAlign w:val="superscript"/>
              </w:rPr>
              <w:t>238</w:t>
            </w:r>
            <w:r>
              <w:t>U+</w:t>
            </w:r>
            <w:r>
              <w:rPr>
                <w:vertAlign w:val="superscript"/>
              </w:rPr>
              <w:t>234</w:t>
            </w:r>
            <w:r>
              <w:t>U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7190A4" w14:textId="77777777" w:rsidR="00344A08" w:rsidRDefault="00344A08">
            <w:pPr>
              <w:pStyle w:val="TablCenter"/>
              <w:spacing w:line="228" w:lineRule="auto"/>
            </w:pPr>
            <w:r>
              <w:rPr>
                <w:vertAlign w:val="superscript"/>
              </w:rPr>
              <w:t>226</w:t>
            </w:r>
            <w:r>
              <w:t>Ra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C6D505" w14:textId="77777777" w:rsidR="00344A08" w:rsidRDefault="00344A08">
            <w:pPr>
              <w:pStyle w:val="TablCenter"/>
              <w:spacing w:line="228" w:lineRule="auto"/>
            </w:pPr>
            <w:r>
              <w:rPr>
                <w:vertAlign w:val="superscript"/>
              </w:rPr>
              <w:t>228</w:t>
            </w:r>
            <w:r>
              <w:t>Ra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BE6FACF" w14:textId="77777777" w:rsidR="00344A08" w:rsidRDefault="00344A08">
            <w:pPr>
              <w:pStyle w:val="TablCenter"/>
              <w:spacing w:line="228" w:lineRule="auto"/>
            </w:pPr>
            <w:r>
              <w:rPr>
                <w:vertAlign w:val="superscript"/>
              </w:rPr>
              <w:t>210</w:t>
            </w:r>
            <w:r>
              <w:t>Pb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07309073" w14:textId="77777777" w:rsidR="00344A08" w:rsidRDefault="00344A08">
            <w:pPr>
              <w:pStyle w:val="TablCenter"/>
              <w:spacing w:line="228" w:lineRule="auto"/>
            </w:pPr>
            <w:r>
              <w:rPr>
                <w:vertAlign w:val="superscript"/>
              </w:rPr>
              <w:t>210</w:t>
            </w:r>
            <w:r>
              <w:t>Po</w:t>
            </w:r>
          </w:p>
        </w:tc>
      </w:tr>
      <w:tr w:rsidR="00344A08" w14:paraId="76769778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right w:val="nil"/>
            </w:tcBorders>
          </w:tcPr>
          <w:p w14:paraId="54940149" w14:textId="77777777" w:rsidR="00344A08" w:rsidRDefault="00344A08">
            <w:pPr>
              <w:pStyle w:val="TablCenter"/>
              <w:spacing w:line="228" w:lineRule="auto"/>
              <w:jc w:val="left"/>
            </w:pPr>
            <w:r>
              <w:t>Молоко (105)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D0238BE" w14:textId="77777777" w:rsidR="00344A08" w:rsidRDefault="00344A08">
            <w:pPr>
              <w:pStyle w:val="TablCenter"/>
              <w:spacing w:line="228" w:lineRule="auto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947A817" w14:textId="77777777" w:rsidR="00344A08" w:rsidRDefault="00344A08">
            <w:pPr>
              <w:pStyle w:val="TablCenter"/>
              <w:spacing w:line="228" w:lineRule="auto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D0856BD" w14:textId="77777777" w:rsidR="00344A08" w:rsidRDefault="00344A08">
            <w:pPr>
              <w:pStyle w:val="TablCenter"/>
              <w:spacing w:line="228" w:lineRule="auto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right w:val="double" w:sz="4" w:space="0" w:color="auto"/>
            </w:tcBorders>
          </w:tcPr>
          <w:p w14:paraId="43F48F70" w14:textId="77777777" w:rsidR="00344A08" w:rsidRDefault="00344A08">
            <w:pPr>
              <w:pStyle w:val="TablCenter"/>
              <w:spacing w:line="228" w:lineRule="auto"/>
            </w:pPr>
            <w:r>
              <w:t>40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182FA26B" w14:textId="77777777" w:rsidR="00344A08" w:rsidRDefault="00344A08">
            <w:pPr>
              <w:pStyle w:val="TablCenter"/>
              <w:spacing w:line="228" w:lineRule="auto"/>
            </w:pPr>
            <w:r>
              <w:t>60</w:t>
            </w:r>
          </w:p>
        </w:tc>
      </w:tr>
      <w:tr w:rsidR="00344A08" w14:paraId="45E15E76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14:paraId="3E9DC410" w14:textId="77777777" w:rsidR="00344A08" w:rsidRDefault="00344A08">
            <w:pPr>
              <w:pStyle w:val="TablCenter"/>
              <w:spacing w:line="228" w:lineRule="auto"/>
              <w:jc w:val="left"/>
            </w:pPr>
            <w:r>
              <w:t>Мясо (50)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45778230" w14:textId="77777777" w:rsidR="00344A08" w:rsidRDefault="00344A08">
            <w:pPr>
              <w:pStyle w:val="TablCenter"/>
              <w:spacing w:line="228" w:lineRule="auto"/>
            </w:pPr>
            <w: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4CA4641" w14:textId="77777777" w:rsidR="00344A08" w:rsidRDefault="00344A08">
            <w:pPr>
              <w:pStyle w:val="TablCenter"/>
              <w:spacing w:line="228" w:lineRule="auto"/>
            </w:pPr>
            <w:r>
              <w:t>15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2EF5E4C9" w14:textId="77777777" w:rsidR="00344A08" w:rsidRDefault="00344A08">
            <w:pPr>
              <w:pStyle w:val="TablCenter"/>
              <w:spacing w:line="228" w:lineRule="auto"/>
            </w:pPr>
            <w:r>
              <w:t>10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</w:tcPr>
          <w:p w14:paraId="2A56BD33" w14:textId="77777777" w:rsidR="00344A08" w:rsidRDefault="00344A08">
            <w:pPr>
              <w:pStyle w:val="TablCenter"/>
              <w:spacing w:line="228" w:lineRule="auto"/>
            </w:pPr>
            <w:r>
              <w:t>80</w:t>
            </w:r>
          </w:p>
        </w:tc>
        <w:tc>
          <w:tcPr>
            <w:tcW w:w="709" w:type="dxa"/>
            <w:tcBorders>
              <w:left w:val="nil"/>
            </w:tcBorders>
          </w:tcPr>
          <w:p w14:paraId="5CA5209F" w14:textId="77777777" w:rsidR="00344A08" w:rsidRDefault="00344A08">
            <w:pPr>
              <w:pStyle w:val="TablCenter"/>
              <w:spacing w:line="228" w:lineRule="auto"/>
            </w:pPr>
            <w:r>
              <w:t>60</w:t>
            </w:r>
          </w:p>
        </w:tc>
      </w:tr>
      <w:tr w:rsidR="00344A08" w14:paraId="1966BB7A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14:paraId="71F1A184" w14:textId="77777777" w:rsidR="00344A08" w:rsidRDefault="00344A08">
            <w:pPr>
              <w:pStyle w:val="TablCenter"/>
              <w:spacing w:line="228" w:lineRule="auto"/>
              <w:jc w:val="left"/>
            </w:pPr>
            <w:r>
              <w:t>Хлеб (140)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5DCE3E30" w14:textId="77777777" w:rsidR="00344A08" w:rsidRDefault="00344A08">
            <w:pPr>
              <w:pStyle w:val="TablCenter"/>
              <w:spacing w:line="228" w:lineRule="auto"/>
            </w:pPr>
            <w:r>
              <w:t>20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C348D61" w14:textId="77777777" w:rsidR="00344A08" w:rsidRDefault="00344A08">
            <w:pPr>
              <w:pStyle w:val="TablCenter"/>
              <w:spacing w:line="228" w:lineRule="auto"/>
            </w:pPr>
            <w:r>
              <w:t>80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1720A931" w14:textId="77777777" w:rsidR="00344A08" w:rsidRDefault="00344A08">
            <w:pPr>
              <w:pStyle w:val="TablCenter"/>
              <w:spacing w:line="228" w:lineRule="auto"/>
            </w:pPr>
            <w:r>
              <w:t>60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</w:tcPr>
          <w:p w14:paraId="5B07864E" w14:textId="77777777" w:rsidR="00344A08" w:rsidRDefault="00344A08">
            <w:pPr>
              <w:pStyle w:val="TablCenter"/>
              <w:spacing w:line="228" w:lineRule="auto"/>
            </w:pPr>
            <w:r>
              <w:t>100</w:t>
            </w:r>
          </w:p>
        </w:tc>
        <w:tc>
          <w:tcPr>
            <w:tcW w:w="709" w:type="dxa"/>
            <w:tcBorders>
              <w:left w:val="nil"/>
            </w:tcBorders>
          </w:tcPr>
          <w:p w14:paraId="4AB83F71" w14:textId="77777777" w:rsidR="00344A08" w:rsidRDefault="00344A08">
            <w:pPr>
              <w:pStyle w:val="TablCenter"/>
              <w:spacing w:line="228" w:lineRule="auto"/>
            </w:pPr>
            <w:r>
              <w:t>100</w:t>
            </w:r>
          </w:p>
        </w:tc>
      </w:tr>
      <w:tr w:rsidR="00344A08" w14:paraId="1124231E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14:paraId="1533009A" w14:textId="77777777" w:rsidR="00344A08" w:rsidRDefault="00344A08">
            <w:pPr>
              <w:pStyle w:val="TablCenter"/>
              <w:spacing w:line="228" w:lineRule="auto"/>
              <w:jc w:val="left"/>
            </w:pPr>
            <w:r>
              <w:t>Листовые овощи (60)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60AAE025" w14:textId="77777777" w:rsidR="00344A08" w:rsidRDefault="00344A08">
            <w:pPr>
              <w:pStyle w:val="TablCenter"/>
              <w:spacing w:line="228" w:lineRule="auto"/>
            </w:pPr>
            <w:r>
              <w:t>20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665E13B" w14:textId="77777777" w:rsidR="00344A08" w:rsidRDefault="00344A08">
            <w:pPr>
              <w:pStyle w:val="TablCenter"/>
              <w:spacing w:line="228" w:lineRule="auto"/>
            </w:pPr>
            <w:r>
              <w:t>50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5D7E5C97" w14:textId="77777777" w:rsidR="00344A08" w:rsidRDefault="00344A08">
            <w:pPr>
              <w:pStyle w:val="TablCenter"/>
              <w:spacing w:line="228" w:lineRule="auto"/>
            </w:pPr>
            <w:r>
              <w:t>40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</w:tcPr>
          <w:p w14:paraId="53B2E39F" w14:textId="77777777" w:rsidR="00344A08" w:rsidRDefault="00344A08">
            <w:pPr>
              <w:pStyle w:val="TablCenter"/>
              <w:spacing w:line="228" w:lineRule="auto"/>
            </w:pPr>
            <w:r>
              <w:t>30</w:t>
            </w:r>
          </w:p>
        </w:tc>
        <w:tc>
          <w:tcPr>
            <w:tcW w:w="709" w:type="dxa"/>
            <w:tcBorders>
              <w:left w:val="nil"/>
            </w:tcBorders>
          </w:tcPr>
          <w:p w14:paraId="10D331A4" w14:textId="77777777" w:rsidR="00344A08" w:rsidRDefault="00344A08">
            <w:pPr>
              <w:pStyle w:val="TablCenter"/>
              <w:spacing w:line="228" w:lineRule="auto"/>
            </w:pPr>
            <w:r>
              <w:t>30</w:t>
            </w:r>
          </w:p>
        </w:tc>
      </w:tr>
      <w:tr w:rsidR="00344A08" w14:paraId="1864EA1A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14:paraId="3263F4C4" w14:textId="77777777" w:rsidR="00344A08" w:rsidRDefault="00344A08">
            <w:pPr>
              <w:pStyle w:val="TablCenter"/>
              <w:spacing w:line="228" w:lineRule="auto"/>
              <w:jc w:val="left"/>
            </w:pPr>
            <w:r>
              <w:t>Корнеплоды, фрукты (170)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3FB1C5E4" w14:textId="77777777" w:rsidR="00344A08" w:rsidRDefault="00344A08">
            <w:pPr>
              <w:pStyle w:val="TablCenter"/>
              <w:spacing w:line="228" w:lineRule="auto"/>
            </w:pPr>
            <w: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20188A2" w14:textId="77777777" w:rsidR="00344A08" w:rsidRDefault="00344A08">
            <w:pPr>
              <w:pStyle w:val="TablCenter"/>
              <w:spacing w:line="228" w:lineRule="auto"/>
            </w:pPr>
            <w:r>
              <w:t>30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2FE3694C" w14:textId="77777777" w:rsidR="00344A08" w:rsidRDefault="00344A08">
            <w:pPr>
              <w:pStyle w:val="TablCenter"/>
              <w:spacing w:line="228" w:lineRule="auto"/>
            </w:pPr>
            <w:r>
              <w:t>–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</w:tcPr>
          <w:p w14:paraId="424B5629" w14:textId="77777777" w:rsidR="00344A08" w:rsidRDefault="00344A08">
            <w:pPr>
              <w:pStyle w:val="TablCenter"/>
              <w:spacing w:line="228" w:lineRule="auto"/>
            </w:pPr>
            <w:r>
              <w:t>25</w:t>
            </w:r>
          </w:p>
        </w:tc>
        <w:tc>
          <w:tcPr>
            <w:tcW w:w="709" w:type="dxa"/>
            <w:tcBorders>
              <w:left w:val="nil"/>
            </w:tcBorders>
          </w:tcPr>
          <w:p w14:paraId="5F353CA8" w14:textId="77777777" w:rsidR="00344A08" w:rsidRDefault="00344A08">
            <w:pPr>
              <w:pStyle w:val="TablCenter"/>
              <w:spacing w:line="228" w:lineRule="auto"/>
            </w:pPr>
            <w:r>
              <w:t>30</w:t>
            </w:r>
          </w:p>
        </w:tc>
      </w:tr>
      <w:tr w:rsidR="00344A08" w14:paraId="0964883C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14:paraId="72759E97" w14:textId="77777777" w:rsidR="00344A08" w:rsidRDefault="00344A08">
            <w:pPr>
              <w:pStyle w:val="TablCenter"/>
              <w:spacing w:line="228" w:lineRule="auto"/>
              <w:jc w:val="left"/>
            </w:pPr>
            <w:r>
              <w:lastRenderedPageBreak/>
              <w:t>Рыба (15)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2551FB12" w14:textId="77777777" w:rsidR="00344A08" w:rsidRDefault="00344A08">
            <w:pPr>
              <w:pStyle w:val="TablCenter"/>
              <w:spacing w:line="228" w:lineRule="auto"/>
            </w:pPr>
            <w:r>
              <w:t>30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519B0E3" w14:textId="77777777" w:rsidR="00344A08" w:rsidRDefault="00344A08">
            <w:pPr>
              <w:pStyle w:val="TablCenter"/>
              <w:spacing w:line="228" w:lineRule="auto"/>
            </w:pPr>
            <w:r>
              <w:t>100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55A3DC04" w14:textId="77777777" w:rsidR="00344A08" w:rsidRDefault="00344A08">
            <w:pPr>
              <w:pStyle w:val="TablCenter"/>
              <w:spacing w:line="228" w:lineRule="auto"/>
            </w:pPr>
            <w:r>
              <w:t>10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</w:tcPr>
          <w:p w14:paraId="0A3C6058" w14:textId="77777777" w:rsidR="00344A08" w:rsidRDefault="00344A08">
            <w:pPr>
              <w:pStyle w:val="TablCenter"/>
              <w:spacing w:line="228" w:lineRule="auto"/>
            </w:pPr>
            <w:r>
              <w:t>200</w:t>
            </w:r>
          </w:p>
        </w:tc>
        <w:tc>
          <w:tcPr>
            <w:tcW w:w="709" w:type="dxa"/>
            <w:tcBorders>
              <w:left w:val="nil"/>
            </w:tcBorders>
          </w:tcPr>
          <w:p w14:paraId="4948D01B" w14:textId="77777777" w:rsidR="00344A08" w:rsidRDefault="00344A08">
            <w:pPr>
              <w:pStyle w:val="TablCenter"/>
              <w:spacing w:line="228" w:lineRule="auto"/>
            </w:pPr>
            <w:r>
              <w:t>2000</w:t>
            </w:r>
          </w:p>
        </w:tc>
      </w:tr>
      <w:tr w:rsidR="00344A08" w14:paraId="464C6A52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14:paraId="70CB12E7" w14:textId="77777777" w:rsidR="00344A08" w:rsidRDefault="00344A08">
            <w:pPr>
              <w:pStyle w:val="TablCenter"/>
              <w:spacing w:line="228" w:lineRule="auto"/>
              <w:jc w:val="left"/>
            </w:pPr>
            <w:r>
              <w:t>Вода (500)*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39A10F18" w14:textId="77777777" w:rsidR="00344A08" w:rsidRDefault="00344A08">
            <w:pPr>
              <w:pStyle w:val="TablCenter"/>
              <w:spacing w:line="228" w:lineRule="auto"/>
            </w:pPr>
            <w: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2CCEA33" w14:textId="77777777" w:rsidR="00344A08" w:rsidRDefault="00344A08">
            <w:pPr>
              <w:pStyle w:val="TablCenter"/>
              <w:spacing w:line="228" w:lineRule="auto"/>
            </w:pPr>
            <w: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14:paraId="3A41A89B" w14:textId="77777777" w:rsidR="00344A08" w:rsidRDefault="00344A08">
            <w:pPr>
              <w:pStyle w:val="TablCenter"/>
              <w:spacing w:line="228" w:lineRule="auto"/>
            </w:pPr>
            <w:r>
              <w:t>0,5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</w:tcPr>
          <w:p w14:paraId="03EE0260" w14:textId="77777777" w:rsidR="00344A08" w:rsidRDefault="00344A08">
            <w:pPr>
              <w:pStyle w:val="TablCenter"/>
              <w:spacing w:line="228" w:lineRule="auto"/>
            </w:pPr>
            <w:r>
              <w:t>10</w:t>
            </w:r>
          </w:p>
        </w:tc>
        <w:tc>
          <w:tcPr>
            <w:tcW w:w="709" w:type="dxa"/>
            <w:tcBorders>
              <w:left w:val="nil"/>
            </w:tcBorders>
          </w:tcPr>
          <w:p w14:paraId="5CDDDBF7" w14:textId="77777777" w:rsidR="00344A08" w:rsidRDefault="00344A08">
            <w:pPr>
              <w:pStyle w:val="TablCenter"/>
              <w:spacing w:line="228" w:lineRule="auto"/>
            </w:pPr>
            <w:r>
              <w:t>5</w:t>
            </w:r>
          </w:p>
        </w:tc>
      </w:tr>
      <w:tr w:rsidR="00344A08" w14:paraId="62AB2C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9" w:type="dxa"/>
            <w:gridSpan w:val="6"/>
          </w:tcPr>
          <w:p w14:paraId="7C97B296" w14:textId="77777777" w:rsidR="00344A08" w:rsidRDefault="00344A08">
            <w:pPr>
              <w:pStyle w:val="TablCenter"/>
              <w:spacing w:line="228" w:lineRule="auto"/>
              <w:jc w:val="both"/>
            </w:pPr>
            <w:r>
              <w:rPr>
                <w:b/>
              </w:rPr>
              <w:t>Примечание:</w:t>
            </w:r>
            <w:r>
              <w:t xml:space="preserve"> *</w:t>
            </w:r>
            <w:r>
              <w:rPr>
                <w:i/>
              </w:rPr>
              <w:t>При годовом потреблении питьевой воды 730 кг/год доза вну</w:t>
            </w:r>
            <w:r>
              <w:rPr>
                <w:i/>
              </w:rPr>
              <w:t>т</w:t>
            </w:r>
            <w:r>
              <w:rPr>
                <w:i/>
              </w:rPr>
              <w:t>реннего облучения людей по п. 7.6 составит 0,125 мЗв/год.</w:t>
            </w:r>
          </w:p>
        </w:tc>
      </w:tr>
    </w:tbl>
    <w:p w14:paraId="5BE20471" w14:textId="77777777" w:rsidR="00344A08" w:rsidRDefault="00344A08">
      <w:pPr>
        <w:pStyle w:val="bodytext"/>
      </w:pPr>
    </w:p>
    <w:p w14:paraId="08D152B3" w14:textId="77777777" w:rsidR="00344A08" w:rsidRDefault="00344A08">
      <w:pPr>
        <w:pStyle w:val="bodytext"/>
      </w:pPr>
      <w:r>
        <w:t>7.6. К дозе внутреннего облучения радионуклидами уранового и ториевого семейств за счет содержания их в продуктах питания и пит</w:t>
      </w:r>
      <w:r>
        <w:t>ь</w:t>
      </w:r>
      <w:r>
        <w:t>евой воде необходимо прибавить вклад в эффективную дозу внутренн</w:t>
      </w:r>
      <w:r>
        <w:t>е</w:t>
      </w:r>
      <w:r>
        <w:t xml:space="preserve">го облучения за счет </w:t>
      </w:r>
      <w:r>
        <w:rPr>
          <w:vertAlign w:val="superscript"/>
        </w:rPr>
        <w:t>40</w:t>
      </w:r>
      <w:r>
        <w:t>К, который составляет в среднем 0,17 мЗв/год.</w:t>
      </w:r>
    </w:p>
    <w:p w14:paraId="615E42DD" w14:textId="77777777" w:rsidR="00344A08" w:rsidRDefault="00344A08">
      <w:pPr>
        <w:pStyle w:val="bodytext"/>
        <w:rPr>
          <w:spacing w:val="-2"/>
        </w:rPr>
      </w:pPr>
      <w:r>
        <w:rPr>
          <w:spacing w:val="-2"/>
        </w:rPr>
        <w:t>7.7. Для населения, проживающего на территории с техногенно и</w:t>
      </w:r>
      <w:r>
        <w:rPr>
          <w:spacing w:val="-2"/>
        </w:rPr>
        <w:t>з</w:t>
      </w:r>
      <w:r>
        <w:rPr>
          <w:spacing w:val="-2"/>
        </w:rPr>
        <w:t>мененным радиационным фоном, эффективная доза внутреннего облуч</w:t>
      </w:r>
      <w:r>
        <w:rPr>
          <w:spacing w:val="-2"/>
        </w:rPr>
        <w:t>е</w:t>
      </w:r>
      <w:r>
        <w:rPr>
          <w:spacing w:val="-2"/>
        </w:rPr>
        <w:t>ния за счет техногенных радионуклидов в продуктах питания и питьевой воде должна определяться в соответствии с указаниями [2].</w:t>
      </w:r>
    </w:p>
    <w:p w14:paraId="78380E12" w14:textId="77777777" w:rsidR="00344A08" w:rsidRDefault="00344A08">
      <w:pPr>
        <w:pStyle w:val="Zag1"/>
      </w:pPr>
      <w:bookmarkStart w:id="8" w:name="_Toc1442116"/>
      <w:r>
        <w:t>8. Определение индивидуальных эффективных доз внутреннего облучения населения за счет долгоживущих природных радионуклидов в атмосферном воздухе</w:t>
      </w:r>
      <w:bookmarkEnd w:id="8"/>
    </w:p>
    <w:p w14:paraId="1980B710" w14:textId="77777777" w:rsidR="00344A08" w:rsidRDefault="00344A08">
      <w:pPr>
        <w:pStyle w:val="bodytext"/>
        <w:rPr>
          <w:spacing w:val="-2"/>
        </w:rPr>
      </w:pPr>
      <w:r>
        <w:rPr>
          <w:spacing w:val="-2"/>
        </w:rPr>
        <w:t>8.1. Эффективная доза внутреннего облучения населения за счет и</w:t>
      </w:r>
      <w:r>
        <w:rPr>
          <w:spacing w:val="-2"/>
        </w:rPr>
        <w:t>н</w:t>
      </w:r>
      <w:r>
        <w:rPr>
          <w:spacing w:val="-2"/>
        </w:rPr>
        <w:t>галяционного поступления природных радионуклидов с пылью оп</w:t>
      </w:r>
      <w:r>
        <w:rPr>
          <w:spacing w:val="-2"/>
        </w:rPr>
        <w:softHyphen/>
        <w:t>ределяется среднегодовым содержанием пыли в приземном слое атм</w:t>
      </w:r>
      <w:r>
        <w:rPr>
          <w:spacing w:val="-2"/>
        </w:rPr>
        <w:t>о</w:t>
      </w:r>
      <w:r>
        <w:rPr>
          <w:spacing w:val="-2"/>
        </w:rPr>
        <w:t>сферного воздуха и удельной активностью радионуклидов в п</w:t>
      </w:r>
      <w:r>
        <w:rPr>
          <w:spacing w:val="-2"/>
        </w:rPr>
        <w:t>ы</w:t>
      </w:r>
      <w:r>
        <w:rPr>
          <w:spacing w:val="-2"/>
        </w:rPr>
        <w:t>ли.</w:t>
      </w:r>
    </w:p>
    <w:p w14:paraId="79FB914A" w14:textId="77777777" w:rsidR="00344A08" w:rsidRDefault="00344A08">
      <w:pPr>
        <w:pStyle w:val="bodytext"/>
      </w:pPr>
      <w:r>
        <w:t>8.2. Среднемировое значение годовой эффективной дозы внутре</w:t>
      </w:r>
      <w:r>
        <w:t>н</w:t>
      </w:r>
      <w:r>
        <w:t>него облучения населения за счет этого фактора достаточно мало и с</w:t>
      </w:r>
      <w:r>
        <w:t>о</w:t>
      </w:r>
      <w:r>
        <w:t>ставляет 0,006 мЗв/год при среднегодовом содержании пыли в атм</w:t>
      </w:r>
      <w:r>
        <w:t>о</w:t>
      </w:r>
      <w:r>
        <w:t>сферном воздухе около 50 мкг/м</w:t>
      </w:r>
      <w:r>
        <w:rPr>
          <w:vertAlign w:val="superscript"/>
        </w:rPr>
        <w:t>3</w:t>
      </w:r>
      <w:r>
        <w:t>.</w:t>
      </w:r>
    </w:p>
    <w:p w14:paraId="4301B1BA" w14:textId="77777777" w:rsidR="00344A08" w:rsidRDefault="00344A08">
      <w:pPr>
        <w:pStyle w:val="bodytext"/>
      </w:pPr>
      <w:r>
        <w:t>8.3. При наличии информации о том, что в данном населенном пункте эта доза может существенно превышать среднемировое зн</w:t>
      </w:r>
      <w:r>
        <w:t>а</w:t>
      </w:r>
      <w:r>
        <w:t>чение и достоверной информации о запыленности воздуха на территории н</w:t>
      </w:r>
      <w:r>
        <w:t>а</w:t>
      </w:r>
      <w:r>
        <w:t>селенного пункта (района и т. п.), средние значения инд</w:t>
      </w:r>
      <w:r>
        <w:t>и</w:t>
      </w:r>
      <w:r>
        <w:t>видуальной годовой эффективной дозы внутреннего облучения взрослых жителей за счет ингаляции долгоживущих природных радионуклидов следует ра</w:t>
      </w:r>
      <w:r>
        <w:t>с</w:t>
      </w:r>
      <w:r>
        <w:t>считывать по форм</w:t>
      </w:r>
      <w:r>
        <w:t>у</w:t>
      </w:r>
      <w:r>
        <w:t>ле:</w:t>
      </w:r>
    </w:p>
    <w:p w14:paraId="330C1180" w14:textId="77777777" w:rsidR="00344A08" w:rsidRDefault="00344A08">
      <w:pPr>
        <w:widowControl w:val="0"/>
        <w:tabs>
          <w:tab w:val="center" w:pos="5245"/>
        </w:tabs>
        <w:spacing w:before="120" w:after="60"/>
        <w:jc w:val="center"/>
      </w:pPr>
      <w:r>
        <w:rPr>
          <w:position w:val="-10"/>
          <w:sz w:val="24"/>
        </w:rPr>
        <w:object w:dxaOrig="180" w:dyaOrig="340" w14:anchorId="35123F5F">
          <v:shape id="_x0000_i1040" type="#_x0000_t75" style="width:9pt;height:16.8pt" o:ole="" fillcolor="window">
            <v:imagedata r:id="rId10" o:title=""/>
          </v:shape>
          <o:OLEObject Type="Embed" ProgID="Equation.3" ShapeID="_x0000_i1040" DrawAspect="Content" ObjectID="_1652793529" r:id="rId43"/>
        </w:object>
      </w:r>
      <w:r>
        <w:rPr>
          <w:position w:val="-28"/>
          <w:sz w:val="24"/>
        </w:rPr>
        <w:object w:dxaOrig="3240" w:dyaOrig="520" w14:anchorId="1815F801">
          <v:shape id="_x0000_i1041" type="#_x0000_t75" style="width:162pt;height:25.8pt" o:ole="" fillcolor="window">
            <v:imagedata r:id="rId44" o:title=""/>
          </v:shape>
          <o:OLEObject Type="Embed" ProgID="Equation.3" ShapeID="_x0000_i1041" DrawAspect="Content" ObjectID="_1652793530" r:id="rId45"/>
        </w:object>
      </w:r>
      <w:r>
        <w:t>, мЗв/год,</w:t>
      </w:r>
      <w:r>
        <w:tab/>
        <w:t>(7)</w:t>
      </w:r>
    </w:p>
    <w:p w14:paraId="710828AC" w14:textId="77777777" w:rsidR="00344A08" w:rsidRDefault="00344A08">
      <w:pPr>
        <w:pStyle w:val="bodytext"/>
        <w:ind w:firstLine="0"/>
      </w:pPr>
      <w:r>
        <w:t xml:space="preserve">в которой приняты следующие обозначения: </w:t>
      </w:r>
    </w:p>
    <w:p w14:paraId="610D5222" w14:textId="77777777" w:rsidR="00344A08" w:rsidRDefault="00344A08">
      <w:pPr>
        <w:pStyle w:val="bodytext"/>
        <w:rPr>
          <w:spacing w:val="-4"/>
        </w:rPr>
      </w:pPr>
      <w:r>
        <w:rPr>
          <w:spacing w:val="-4"/>
        </w:rPr>
        <w:t xml:space="preserve">1,2 – </w:t>
      </w:r>
      <w:r>
        <w:rPr>
          <w:spacing w:val="-2"/>
        </w:rPr>
        <w:t>стандартный объем дыхания для</w:t>
      </w:r>
      <w:r>
        <w:rPr>
          <w:spacing w:val="-4"/>
        </w:rPr>
        <w:t xml:space="preserve"> </w:t>
      </w:r>
      <w:r>
        <w:rPr>
          <w:spacing w:val="-2"/>
        </w:rPr>
        <w:t>взрослого</w:t>
      </w:r>
      <w:r>
        <w:rPr>
          <w:spacing w:val="-4"/>
        </w:rPr>
        <w:t xml:space="preserve"> </w:t>
      </w:r>
      <w:r>
        <w:rPr>
          <w:spacing w:val="-2"/>
        </w:rPr>
        <w:t>человека, м</w:t>
      </w:r>
      <w:r>
        <w:rPr>
          <w:spacing w:val="-2"/>
          <w:vertAlign w:val="superscript"/>
        </w:rPr>
        <w:t>3</w:t>
      </w:r>
      <w:r>
        <w:rPr>
          <w:spacing w:val="-2"/>
        </w:rPr>
        <w:t>/час;</w:t>
      </w:r>
    </w:p>
    <w:p w14:paraId="5714C1BC" w14:textId="77777777" w:rsidR="00344A08" w:rsidRDefault="00344A08">
      <w:pPr>
        <w:pStyle w:val="bodytext"/>
      </w:pPr>
      <w:r>
        <w:t>0,2 и 8800 – то же, что и в формулах (1) и (3);</w:t>
      </w:r>
    </w:p>
    <w:p w14:paraId="52592BE7" w14:textId="77777777" w:rsidR="00344A08" w:rsidRDefault="00344A08">
      <w:pPr>
        <w:pStyle w:val="bodytext"/>
      </w:pPr>
      <w:r>
        <w:rPr>
          <w:position w:val="-8"/>
        </w:rPr>
        <w:object w:dxaOrig="300" w:dyaOrig="340" w14:anchorId="1DD805B3">
          <v:shape id="_x0000_i1042" type="#_x0000_t75" style="width:15pt;height:16.8pt" o:ole="" fillcolor="window">
            <v:imagedata r:id="rId46" o:title=""/>
          </v:shape>
          <o:OLEObject Type="Embed" ProgID="Equation.3" ShapeID="_x0000_i1042" DrawAspect="Content" ObjectID="_1652793531" r:id="rId47"/>
        </w:object>
      </w:r>
      <w:r>
        <w:t xml:space="preserve">– удельная активность </w:t>
      </w:r>
      <w:r>
        <w:rPr>
          <w:i/>
        </w:rPr>
        <w:t>j</w:t>
      </w:r>
      <w:r>
        <w:t>-го радионуклида в пыли, содерж</w:t>
      </w:r>
      <w:r>
        <w:t>а</w:t>
      </w:r>
      <w:r>
        <w:t>щейся в приземном слое атмосферного воздуха, кБк/кг;</w:t>
      </w:r>
    </w:p>
    <w:p w14:paraId="41F61841" w14:textId="77777777" w:rsidR="00344A08" w:rsidRDefault="00344A08">
      <w:pPr>
        <w:pStyle w:val="bodytext"/>
      </w:pPr>
      <w:r>
        <w:rPr>
          <w:position w:val="-10"/>
        </w:rPr>
        <w:object w:dxaOrig="220" w:dyaOrig="360" w14:anchorId="035F5483">
          <v:shape id="_x0000_i1043" type="#_x0000_t75" style="width:10.8pt;height:18pt" o:ole="" fillcolor="window">
            <v:imagedata r:id="rId48" o:title=""/>
          </v:shape>
          <o:OLEObject Type="Embed" ProgID="Equation.3" ShapeID="_x0000_i1043" DrawAspect="Content" ObjectID="_1652793532" r:id="rId49"/>
        </w:object>
      </w:r>
      <w:r>
        <w:t xml:space="preserve"> – средняя запыленность воздуха на территории населенного пункта (района и т. п.), мг/м</w:t>
      </w:r>
      <w:r>
        <w:rPr>
          <w:vertAlign w:val="superscript"/>
        </w:rPr>
        <w:t>3</w:t>
      </w:r>
      <w:r>
        <w:t>;</w:t>
      </w:r>
    </w:p>
    <w:p w14:paraId="190D5F91" w14:textId="77777777" w:rsidR="00344A08" w:rsidRDefault="00344A08">
      <w:pPr>
        <w:pStyle w:val="bodytext"/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inh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j</w:t>
      </w:r>
      <w:r>
        <w:t xml:space="preserve"> – дозовый коэффициент для </w:t>
      </w:r>
      <w:r>
        <w:rPr>
          <w:i/>
        </w:rPr>
        <w:t>j</w:t>
      </w:r>
      <w:r>
        <w:t>-го радионуклида, Зв/Бк.</w:t>
      </w:r>
    </w:p>
    <w:p w14:paraId="3117EB02" w14:textId="77777777" w:rsidR="00344A08" w:rsidRDefault="00344A08">
      <w:pPr>
        <w:pStyle w:val="bodytext"/>
      </w:pPr>
      <w:r>
        <w:t>8.4.</w:t>
      </w:r>
      <w:r>
        <w:rPr>
          <w:lang w:val="en-US"/>
        </w:rPr>
        <w:t> </w:t>
      </w:r>
      <w:r>
        <w:t xml:space="preserve">Численные значения дозовых коэффициентов для основных радионуклидов рядов </w:t>
      </w:r>
      <w:r>
        <w:rPr>
          <w:vertAlign w:val="superscript"/>
        </w:rPr>
        <w:t>238</w:t>
      </w:r>
      <w:r>
        <w:t xml:space="preserve">U и </w:t>
      </w:r>
      <w:r>
        <w:rPr>
          <w:vertAlign w:val="superscript"/>
        </w:rPr>
        <w:t>232</w:t>
      </w:r>
      <w:r>
        <w:t>Th, дающих существенный вклад в дозу внутреннего облучения населения при их ингаляционном п</w:t>
      </w:r>
      <w:r>
        <w:t>о</w:t>
      </w:r>
      <w:r>
        <w:t>ступлении в организм взрослого населения, приведены в пр</w:t>
      </w:r>
      <w:r>
        <w:t>и</w:t>
      </w:r>
      <w:r>
        <w:t>лож</w:t>
      </w:r>
      <w:r w:rsidRPr="00ED5E78">
        <w:t xml:space="preserve">. </w:t>
      </w:r>
      <w:r>
        <w:t>2.</w:t>
      </w:r>
    </w:p>
    <w:p w14:paraId="7D9F8171" w14:textId="77777777" w:rsidR="00344A08" w:rsidRDefault="00344A08">
      <w:pPr>
        <w:pStyle w:val="bodytext"/>
      </w:pPr>
      <w:r>
        <w:t>При неизвестном типе соединения радионуклида в воздухе для расчета доз внутреннего облучения следует принимать максимал</w:t>
      </w:r>
      <w:r>
        <w:t>ь</w:t>
      </w:r>
      <w:r>
        <w:t>ные значения дозовых коэффициентов по прилож. 2.</w:t>
      </w:r>
    </w:p>
    <w:p w14:paraId="6B35C475" w14:textId="77777777" w:rsidR="00344A08" w:rsidRDefault="00344A08">
      <w:pPr>
        <w:pStyle w:val="bodytext"/>
      </w:pPr>
      <w:r>
        <w:t>8.5. При оценке эффективных доз внутреннего облучения критич</w:t>
      </w:r>
      <w:r>
        <w:t>е</w:t>
      </w:r>
      <w:r>
        <w:t>ской группы населения при ингаляционном поступлении до</w:t>
      </w:r>
      <w:r>
        <w:t>л</w:t>
      </w:r>
      <w:r>
        <w:t>гоживущих природных радионуклидов в организм, дозовые коэффициенты прин</w:t>
      </w:r>
      <w:r>
        <w:t>и</w:t>
      </w:r>
      <w:r>
        <w:t>маются в соответствии с данными прилож. 3.</w:t>
      </w:r>
    </w:p>
    <w:p w14:paraId="08BEB8D0" w14:textId="77777777" w:rsidR="00344A08" w:rsidRDefault="00344A08">
      <w:pPr>
        <w:pStyle w:val="Zag1"/>
      </w:pPr>
      <w:bookmarkStart w:id="9" w:name="_Toc1442117"/>
      <w:r>
        <w:t xml:space="preserve">9. Определение суммарной индивидуальной годовой эффективной дозы облучения населения за счет всех </w:t>
      </w:r>
      <w:r>
        <w:br/>
        <w:t>природных источников ионизирующего излучения</w:t>
      </w:r>
      <w:bookmarkEnd w:id="9"/>
    </w:p>
    <w:p w14:paraId="17C4C43A" w14:textId="77777777" w:rsidR="00344A08" w:rsidRDefault="00344A08">
      <w:pPr>
        <w:pStyle w:val="bodytext"/>
      </w:pPr>
      <w:r>
        <w:t>9.1. Среднее значение суммарной индивидуальной годовой эффе</w:t>
      </w:r>
      <w:r>
        <w:t>к</w:t>
      </w:r>
      <w:r>
        <w:t>тивной дозы облучения взрослых жителей населенного пункта (района и</w:t>
      </w:r>
      <w:r>
        <w:rPr>
          <w:lang w:val="en-US"/>
        </w:rPr>
        <w:t> </w:t>
      </w:r>
      <w:r>
        <w:t>т.</w:t>
      </w:r>
      <w:r>
        <w:rPr>
          <w:lang w:val="en-US"/>
        </w:rPr>
        <w:t> </w:t>
      </w:r>
      <w:r>
        <w:t>п.) за счет всех природных источников ионизирующего излучения определяется суммой всех ее составля</w:t>
      </w:r>
      <w:r>
        <w:t>ю</w:t>
      </w:r>
      <w:r>
        <w:t>щих:</w:t>
      </w:r>
    </w:p>
    <w:p w14:paraId="72A8B58A" w14:textId="77777777" w:rsidR="00344A08" w:rsidRDefault="00344A08">
      <w:pPr>
        <w:tabs>
          <w:tab w:val="center" w:pos="6067"/>
        </w:tabs>
        <w:spacing w:before="60" w:after="120"/>
        <w:jc w:val="center"/>
      </w:pPr>
      <w:r>
        <w:rPr>
          <w:position w:val="-8"/>
          <w:sz w:val="24"/>
        </w:rPr>
        <w:object w:dxaOrig="5020" w:dyaOrig="360" w14:anchorId="7B39C6B4">
          <v:shape id="_x0000_i1044" type="#_x0000_t75" style="width:250.8pt;height:18pt" o:ole="" fillcolor="window">
            <v:imagedata r:id="rId50" o:title=""/>
          </v:shape>
          <o:OLEObject Type="Embed" ProgID="Equation.3" ShapeID="_x0000_i1044" DrawAspect="Content" ObjectID="_1652793533" r:id="rId51"/>
        </w:object>
      </w:r>
      <w:r>
        <w:t>, мЗв/год,</w:t>
      </w:r>
      <w:r>
        <w:tab/>
        <w:t>(8)</w:t>
      </w:r>
    </w:p>
    <w:p w14:paraId="4D49727B" w14:textId="77777777" w:rsidR="00344A08" w:rsidRDefault="00344A08">
      <w:pPr>
        <w:pStyle w:val="bodytext"/>
        <w:ind w:firstLine="0"/>
      </w:pPr>
      <w:r>
        <w:t xml:space="preserve">в которой численный коэффициент 1,05 введен для учета вклада в дозу облучения населения материнских радионуклидов, </w:t>
      </w:r>
      <w:r w:rsidRPr="00ED5E78">
        <w:t>–</w:t>
      </w:r>
      <w:r>
        <w:rPr>
          <w:vertAlign w:val="superscript"/>
        </w:rPr>
        <w:t xml:space="preserve"> 220</w:t>
      </w:r>
      <w:r>
        <w:t xml:space="preserve">Rn и </w:t>
      </w:r>
      <w:r>
        <w:rPr>
          <w:vertAlign w:val="superscript"/>
        </w:rPr>
        <w:t>222</w:t>
      </w:r>
      <w:r>
        <w:t>Rn в во</w:t>
      </w:r>
      <w:r>
        <w:t>з</w:t>
      </w:r>
      <w:r>
        <w:t>духе помещений.</w:t>
      </w:r>
    </w:p>
    <w:p w14:paraId="15B9C28F" w14:textId="77777777" w:rsidR="00344A08" w:rsidRDefault="00344A08">
      <w:pPr>
        <w:pStyle w:val="bodytext"/>
      </w:pPr>
      <w:r>
        <w:t>Слагаемое 0,57 в формуле (8) учитывает вклад в эффективные дозы облучения населения ионизирующей компоненты космического излуч</w:t>
      </w:r>
      <w:r>
        <w:t>е</w:t>
      </w:r>
      <w:r>
        <w:t>ния (0,40</w:t>
      </w:r>
      <w:r>
        <w:rPr>
          <w:lang w:val="en-US"/>
        </w:rPr>
        <w:t> </w:t>
      </w:r>
      <w:r>
        <w:t xml:space="preserve">мЗв/год) и внутреннее облучение за счет </w:t>
      </w:r>
      <w:r>
        <w:rPr>
          <w:vertAlign w:val="superscript"/>
        </w:rPr>
        <w:t>40</w:t>
      </w:r>
      <w:r>
        <w:t>К (0,17</w:t>
      </w:r>
      <w:r>
        <w:rPr>
          <w:lang w:val="en-US"/>
        </w:rPr>
        <w:t> </w:t>
      </w:r>
      <w:r>
        <w:t>мЗв/год).</w:t>
      </w:r>
    </w:p>
    <w:p w14:paraId="1269B4AE" w14:textId="77777777" w:rsidR="00344A08" w:rsidRDefault="00344A08">
      <w:pPr>
        <w:pStyle w:val="bodytext"/>
      </w:pPr>
      <w:r>
        <w:t>9.2. Наряду с суммарными дозами облучения населения за счет природных источников излучения важнейшей характеристикой я</w:t>
      </w:r>
      <w:r>
        <w:t>в</w:t>
      </w:r>
      <w:r>
        <w:t>ляется относительный вклад в нее отдельных составляющих, и</w:t>
      </w:r>
      <w:r>
        <w:t>н</w:t>
      </w:r>
      <w:r>
        <w:t>формация о котором является основой для планирования опт</w:t>
      </w:r>
      <w:r>
        <w:t>и</w:t>
      </w:r>
      <w:r>
        <w:t>мальных мероприятий по сн</w:t>
      </w:r>
      <w:r>
        <w:t>и</w:t>
      </w:r>
      <w:r>
        <w:t>жению уровней облучения населения.</w:t>
      </w:r>
    </w:p>
    <w:p w14:paraId="7C452AAF" w14:textId="77777777" w:rsidR="00344A08" w:rsidRDefault="00344A08">
      <w:pPr>
        <w:pStyle w:val="Zag1"/>
      </w:pPr>
      <w:bookmarkStart w:id="10" w:name="_Toc1442118"/>
      <w:r>
        <w:br w:type="page"/>
      </w:r>
      <w:r>
        <w:lastRenderedPageBreak/>
        <w:t>10. Библиографические данные</w:t>
      </w:r>
      <w:bookmarkEnd w:id="10"/>
    </w:p>
    <w:p w14:paraId="0483739D" w14:textId="77777777" w:rsidR="00344A08" w:rsidRDefault="00344A08">
      <w:pPr>
        <w:pStyle w:val="bodytext"/>
      </w:pPr>
      <w:r>
        <w:t>1. Выборочное обследование жилых зданий для оценки доз обл</w:t>
      </w:r>
      <w:r>
        <w:t>у</w:t>
      </w:r>
      <w:r>
        <w:t>чения населения. Методические рекомендации.</w:t>
      </w:r>
      <w:r w:rsidRPr="00ED5E78">
        <w:t>—</w:t>
      </w:r>
      <w:r>
        <w:t>М.: Минздрав Ро</w:t>
      </w:r>
      <w:r>
        <w:t>с</w:t>
      </w:r>
      <w:r>
        <w:t>сии. Утв. 29.08.00 № 11</w:t>
      </w:r>
      <w:r w:rsidRPr="00ED5E78">
        <w:t>—</w:t>
      </w:r>
      <w:r>
        <w:t>2/206</w:t>
      </w:r>
      <w:r w:rsidRPr="00ED5E78">
        <w:t>—</w:t>
      </w:r>
      <w:r>
        <w:t>09.</w:t>
      </w:r>
    </w:p>
    <w:p w14:paraId="41F70136" w14:textId="77777777" w:rsidR="00344A08" w:rsidRDefault="00344A08">
      <w:pPr>
        <w:pStyle w:val="bodytext"/>
      </w:pPr>
      <w:r>
        <w:t>2. Зонирование населенных пунктов Российской Федерации, по</w:t>
      </w:r>
      <w:r>
        <w:t>д</w:t>
      </w:r>
      <w:r>
        <w:t>вергшихся радиоактивному загрязнению вследствие аварии на Черн</w:t>
      </w:r>
      <w:r>
        <w:t>о</w:t>
      </w:r>
      <w:r>
        <w:t>быльской АЭС, по критерию годовой дозы облучения насел</w:t>
      </w:r>
      <w:r>
        <w:t>е</w:t>
      </w:r>
      <w:r>
        <w:t>ния. МУ 2.6.1.784</w:t>
      </w:r>
      <w:r w:rsidRPr="00ED5E78">
        <w:t>—</w:t>
      </w:r>
      <w:r>
        <w:t>99</w:t>
      </w:r>
    </w:p>
    <w:p w14:paraId="3BF650C8" w14:textId="77777777" w:rsidR="00344A08" w:rsidRDefault="00344A08">
      <w:pPr>
        <w:pStyle w:val="bodytext"/>
      </w:pPr>
      <w:r>
        <w:t>3. Определение годовой эффективной дозы облучения жителей н</w:t>
      </w:r>
      <w:r>
        <w:t>а</w:t>
      </w:r>
      <w:r>
        <w:t>селенных пунктов Российской Федерации, подвергшихся радиоакти</w:t>
      </w:r>
      <w:r>
        <w:t>в</w:t>
      </w:r>
      <w:r>
        <w:t xml:space="preserve">ному загрязнению вследствие аварии в </w:t>
      </w:r>
      <w:smartTag w:uri="urn:schemas-microsoft-com:office:smarttags" w:element="metricconverter">
        <w:smartTagPr>
          <w:attr w:name="ProductID" w:val="1957 г"/>
        </w:smartTagPr>
        <w:r>
          <w:t>1957 г</w:t>
        </w:r>
      </w:smartTag>
      <w:r>
        <w:t>. на ПО «Маяк» и сбросов радиоактивных отходов в реку Теча. МУ 2.6.016—93.</w:t>
      </w:r>
    </w:p>
    <w:p w14:paraId="7385CC2A" w14:textId="77777777" w:rsidR="00344A08" w:rsidRPr="00ED5E78" w:rsidRDefault="00344A08">
      <w:pPr>
        <w:pStyle w:val="bodytext"/>
        <w:rPr>
          <w:lang w:val="en-US"/>
        </w:rPr>
      </w:pPr>
      <w:r>
        <w:rPr>
          <w:spacing w:val="-6"/>
        </w:rPr>
        <w:t>4. Форма государственного статистического наблюдения № 4-ДОЗ.</w:t>
      </w:r>
      <w:r>
        <w:t xml:space="preserve"> И</w:t>
      </w:r>
      <w:r>
        <w:t>н</w:t>
      </w:r>
      <w:r>
        <w:t>струкция по заполнению.—М.: Минздрав России. Утв</w:t>
      </w:r>
      <w:r w:rsidRPr="00ED5E78">
        <w:rPr>
          <w:lang w:val="en-US"/>
        </w:rPr>
        <w:t>. 28.11.01 № 11-2/283-09.</w:t>
      </w:r>
    </w:p>
    <w:p w14:paraId="6EF65A58" w14:textId="77777777" w:rsidR="00344A08" w:rsidRPr="00ED5E78" w:rsidRDefault="00344A08">
      <w:pPr>
        <w:pStyle w:val="bodytext"/>
        <w:rPr>
          <w:lang w:val="en-US"/>
        </w:rPr>
      </w:pPr>
      <w:r w:rsidRPr="00ED5E78">
        <w:rPr>
          <w:lang w:val="en-US"/>
        </w:rPr>
        <w:t>5. Sources and Effects of Ionizing Radiation. United Nation Scientific Committee on the Effects of Atomic Radiation. UNSCEAR Report to the General Assembly, VI: Sources.—UN, NY, 2000.—654 p.</w:t>
      </w:r>
    </w:p>
    <w:p w14:paraId="7BF4E22B" w14:textId="77777777" w:rsidR="00344A08" w:rsidRDefault="00344A08">
      <w:pPr>
        <w:pStyle w:val="bodytext"/>
      </w:pPr>
      <w:r>
        <w:t>6. Международные основные нормы безопасности для защиты от ионизирующих излучений и безопасного обращения с источниками и</w:t>
      </w:r>
      <w:r>
        <w:t>з</w:t>
      </w:r>
      <w:r>
        <w:t>лучения.—Вена: МАГАТЭ, 1997.</w:t>
      </w:r>
    </w:p>
    <w:p w14:paraId="7C9583BA" w14:textId="77777777" w:rsidR="00344A08" w:rsidRDefault="00344A08">
      <w:pPr>
        <w:pStyle w:val="bodytext"/>
      </w:pPr>
      <w:r>
        <w:rPr>
          <w:spacing w:val="-4"/>
        </w:rPr>
        <w:t>7. Нормы радиационной безопасности (НРБ-99). СП 2.6.1.758</w:t>
      </w:r>
      <w:r w:rsidRPr="00ED5E78">
        <w:rPr>
          <w:spacing w:val="-4"/>
        </w:rPr>
        <w:t>—</w:t>
      </w:r>
      <w:r>
        <w:rPr>
          <w:spacing w:val="-4"/>
        </w:rPr>
        <w:t>99:</w:t>
      </w:r>
      <w:r>
        <w:rPr>
          <w:spacing w:val="-2"/>
        </w:rPr>
        <w:t xml:space="preserve"> </w:t>
      </w:r>
      <w:r>
        <w:t>Ми</w:t>
      </w:r>
      <w:r>
        <w:t>н</w:t>
      </w:r>
      <w:r>
        <w:t>здрав России, 1999.</w:t>
      </w:r>
    </w:p>
    <w:p w14:paraId="0EEB7D5F" w14:textId="77777777" w:rsidR="00344A08" w:rsidRDefault="00344A08">
      <w:pPr>
        <w:pStyle w:val="tabl"/>
      </w:pPr>
      <w:r>
        <w:rPr>
          <w:sz w:val="24"/>
        </w:rPr>
        <w:br w:type="page"/>
      </w:r>
      <w:r>
        <w:lastRenderedPageBreak/>
        <w:t>Приложение 1</w:t>
      </w:r>
    </w:p>
    <w:p w14:paraId="7B35504B" w14:textId="77777777" w:rsidR="00344A08" w:rsidRDefault="00344A08">
      <w:pPr>
        <w:pStyle w:val="Zagpril"/>
      </w:pPr>
      <w:bookmarkStart w:id="11" w:name="_Toc1442119"/>
      <w:r>
        <w:t>Дозовые коэффициенты для отдельных радионуклидов рядов урана и тория при их пероральном поступлении в организм взрослых жителей [5]</w:t>
      </w:r>
      <w:bookmarkEnd w:id="11"/>
    </w:p>
    <w:p w14:paraId="47564295" w14:textId="77777777" w:rsidR="00344A08" w:rsidRDefault="00344A08">
      <w:pPr>
        <w:pStyle w:val="tabl"/>
      </w:pPr>
      <w:r>
        <w:t>Таблица П 1.1</w:t>
      </w:r>
    </w:p>
    <w:p w14:paraId="5345395A" w14:textId="77777777" w:rsidR="00344A08" w:rsidRDefault="00344A08">
      <w:pPr>
        <w:pStyle w:val="TablZag"/>
      </w:pPr>
      <w:r>
        <w:t>Дозовые коэффициенты для основных</w:t>
      </w:r>
      <w:r>
        <w:rPr>
          <w:rStyle w:val="aa"/>
        </w:rPr>
        <w:footnoteReference w:customMarkFollows="1" w:id="6"/>
        <w:sym w:font="Symbol" w:char="F02A"/>
      </w:r>
      <w:r>
        <w:t xml:space="preserve"> ради</w:t>
      </w:r>
      <w:r>
        <w:t>о</w:t>
      </w:r>
      <w:r>
        <w:t xml:space="preserve">нуклидов ряда </w:t>
      </w:r>
      <w:r>
        <w:rPr>
          <w:vertAlign w:val="superscript"/>
        </w:rPr>
        <w:t>238</w:t>
      </w:r>
      <w:r>
        <w:t>U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135"/>
        <w:gridCol w:w="2665"/>
      </w:tblGrid>
      <w:tr w:rsidR="00344A08" w14:paraId="7CF8B7E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B608C4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>Ради</w:t>
            </w:r>
            <w:r>
              <w:t>о</w:t>
            </w:r>
            <w:r>
              <w:t>нуклид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7AFD3A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 xml:space="preserve">Период </w:t>
            </w:r>
            <w:r>
              <w:br/>
              <w:t>полура</w:t>
            </w:r>
            <w:r>
              <w:t>с</w:t>
            </w:r>
            <w:r>
              <w:t>пада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51727D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>Тип расп</w:t>
            </w:r>
            <w:r>
              <w:t>а</w:t>
            </w:r>
            <w:r>
              <w:t>да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1E5C6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>Дозовый коэффициент при пер</w:t>
            </w:r>
            <w:r>
              <w:t>о</w:t>
            </w:r>
            <w:r>
              <w:t>ральном поступлении, Зв/Бк</w:t>
            </w:r>
          </w:p>
        </w:tc>
      </w:tr>
      <w:tr w:rsidR="00344A08" w14:paraId="244C7B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B3934C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238</w:t>
            </w:r>
            <w:r>
              <w:t>U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2FC" w14:textId="77777777" w:rsidR="00344A08" w:rsidRDefault="00344A08">
            <w:pPr>
              <w:pStyle w:val="Tablleft"/>
              <w:jc w:val="center"/>
            </w:pPr>
            <w:r>
              <w:t>4,77 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 xml:space="preserve">9 </w:t>
            </w:r>
            <w:r>
              <w:t>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D4870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C0B0D4" w14:textId="77777777" w:rsidR="00344A08" w:rsidRDefault="00344A08">
            <w:pPr>
              <w:pStyle w:val="Tablleft"/>
              <w:jc w:val="center"/>
            </w:pPr>
            <w:r>
              <w:t>4,5 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</w:tr>
      <w:tr w:rsidR="00344A08" w14:paraId="3B8A0A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1A5B60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234</w:t>
            </w:r>
            <w:r>
              <w:t>Th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32AF" w14:textId="77777777" w:rsidR="00344A08" w:rsidRDefault="00344A08">
            <w:pPr>
              <w:pStyle w:val="Tablleft"/>
              <w:jc w:val="center"/>
            </w:pPr>
            <w:r>
              <w:t>24,10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56858" w14:textId="77777777" w:rsidR="00344A08" w:rsidRDefault="00344A08">
            <w:pPr>
              <w:pStyle w:val="Tablleft"/>
              <w:jc w:val="center"/>
            </w:pPr>
            <w:r>
              <w:sym w:font="Symbol" w:char="F062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50F314" w14:textId="77777777" w:rsidR="00344A08" w:rsidRDefault="00344A08">
            <w:pPr>
              <w:pStyle w:val="Tablleft"/>
              <w:jc w:val="center"/>
            </w:pPr>
            <w:r>
              <w:t>3,4 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-9</w:t>
            </w:r>
          </w:p>
        </w:tc>
      </w:tr>
      <w:tr w:rsidR="00344A08" w14:paraId="261E3D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C2A2BA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234</w:t>
            </w:r>
            <w:r>
              <w:t>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908F" w14:textId="77777777" w:rsidR="00344A08" w:rsidRDefault="00344A08">
            <w:pPr>
              <w:pStyle w:val="Tablleft"/>
              <w:jc w:val="center"/>
            </w:pPr>
            <w:r>
              <w:t>2,45 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 xml:space="preserve">5 </w:t>
            </w:r>
            <w: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BB9BA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F11778" w14:textId="77777777" w:rsidR="00344A08" w:rsidRDefault="00344A08">
            <w:pPr>
              <w:pStyle w:val="Tablleft"/>
              <w:jc w:val="center"/>
            </w:pPr>
            <w:r>
              <w:t>4,9 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</w:tr>
      <w:tr w:rsidR="00344A08" w14:paraId="539BE3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17CE57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230</w:t>
            </w:r>
            <w:r>
              <w:t>Th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487" w14:textId="77777777" w:rsidR="00344A08" w:rsidRDefault="00344A08">
            <w:pPr>
              <w:pStyle w:val="Tablleft"/>
              <w:jc w:val="center"/>
            </w:pPr>
            <w:r>
              <w:t>7,70 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 xml:space="preserve">4 </w:t>
            </w:r>
            <w: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2F1DF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B5E840" w14:textId="77777777" w:rsidR="00344A08" w:rsidRDefault="00344A08">
            <w:pPr>
              <w:pStyle w:val="Tablleft"/>
              <w:jc w:val="center"/>
            </w:pPr>
            <w:r>
              <w:t>2,1 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</w:tr>
      <w:tr w:rsidR="00344A08" w14:paraId="3C34EC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67F06C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226</w:t>
            </w:r>
            <w:r>
              <w:t>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15C" w14:textId="77777777" w:rsidR="00344A08" w:rsidRDefault="00344A08">
            <w:pPr>
              <w:pStyle w:val="Tablleft"/>
              <w:jc w:val="center"/>
            </w:pPr>
            <w:r>
              <w:t>1600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54CE4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B3C90D" w14:textId="77777777" w:rsidR="00344A08" w:rsidRDefault="00344A08">
            <w:pPr>
              <w:pStyle w:val="Tablleft"/>
              <w:jc w:val="center"/>
            </w:pPr>
            <w:r>
              <w:t>2,8 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</w:tr>
      <w:tr w:rsidR="00344A08" w14:paraId="18DD99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57A505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210</w:t>
            </w:r>
            <w:r>
              <w:t>Pb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7E3" w14:textId="77777777" w:rsidR="00344A08" w:rsidRDefault="00344A08">
            <w:pPr>
              <w:pStyle w:val="Tablleft"/>
              <w:jc w:val="center"/>
            </w:pPr>
            <w:r>
              <w:t>22,3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C57D" w14:textId="77777777" w:rsidR="00344A08" w:rsidRDefault="00344A08">
            <w:pPr>
              <w:pStyle w:val="Tablleft"/>
              <w:jc w:val="center"/>
            </w:pPr>
            <w:r>
              <w:sym w:font="Symbol" w:char="F062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BC24D3" w14:textId="77777777" w:rsidR="00344A08" w:rsidRDefault="00344A08">
            <w:pPr>
              <w:pStyle w:val="Tablleft"/>
              <w:jc w:val="center"/>
            </w:pPr>
            <w:r>
              <w:t>6,9 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</w:tr>
      <w:tr w:rsidR="00344A08" w14:paraId="35FC81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51F934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210</w:t>
            </w:r>
            <w:r>
              <w:t>Bi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6FF" w14:textId="77777777" w:rsidR="00344A08" w:rsidRDefault="00344A08">
            <w:pPr>
              <w:pStyle w:val="Tablleft"/>
              <w:jc w:val="center"/>
            </w:pPr>
            <w:r>
              <w:t>5,013 дня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34CF0" w14:textId="77777777" w:rsidR="00344A08" w:rsidRDefault="00344A08">
            <w:pPr>
              <w:pStyle w:val="Tablleft"/>
              <w:jc w:val="center"/>
            </w:pPr>
            <w:r>
              <w:sym w:font="Symbol" w:char="F062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8B6709" w14:textId="77777777" w:rsidR="00344A08" w:rsidRDefault="00344A08">
            <w:pPr>
              <w:pStyle w:val="Tablleft"/>
              <w:jc w:val="center"/>
            </w:pPr>
            <w:r>
              <w:t>1,3 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-9</w:t>
            </w:r>
          </w:p>
        </w:tc>
      </w:tr>
      <w:tr w:rsidR="00344A08" w14:paraId="2F2D51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3033B1E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210</w:t>
            </w:r>
            <w:r>
              <w:t>Po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FC485" w14:textId="77777777" w:rsidR="00344A08" w:rsidRDefault="00344A08">
            <w:pPr>
              <w:pStyle w:val="Tablleft"/>
              <w:jc w:val="center"/>
            </w:pPr>
            <w:r>
              <w:t>138,4 дня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22D4E4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B4E1FF8" w14:textId="77777777" w:rsidR="00344A08" w:rsidRDefault="00344A08">
            <w:pPr>
              <w:pStyle w:val="Tablleft"/>
              <w:jc w:val="center"/>
            </w:pPr>
            <w:r>
              <w:t>1,2 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15AADD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A4FDF2" w14:textId="77777777" w:rsidR="00344A08" w:rsidRDefault="00344A08">
            <w:pPr>
              <w:pStyle w:val="Tablleft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AF21A6" w14:textId="77777777" w:rsidR="00344A08" w:rsidRDefault="00344A08">
            <w:pPr>
              <w:pStyle w:val="Tablleft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2,48</w:t>
            </w:r>
            <w:r>
              <w:t> </w:t>
            </w:r>
            <w:r>
              <w:sym w:font="Symbol" w:char="F0D7"/>
            </w:r>
            <w:r>
              <w:t> 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-6</w:t>
            </w:r>
          </w:p>
        </w:tc>
      </w:tr>
    </w:tbl>
    <w:p w14:paraId="570095F9" w14:textId="77777777" w:rsidR="00344A08" w:rsidRDefault="00344A08">
      <w:pPr>
        <w:rPr>
          <w:sz w:val="10"/>
        </w:rPr>
      </w:pPr>
    </w:p>
    <w:p w14:paraId="4C8651D0" w14:textId="77777777" w:rsidR="00344A08" w:rsidRDefault="00344A08">
      <w:pPr>
        <w:pStyle w:val="tabl"/>
      </w:pPr>
      <w:r>
        <w:t>Таблица П 1.2</w:t>
      </w:r>
    </w:p>
    <w:p w14:paraId="57FD8907" w14:textId="77777777" w:rsidR="00344A08" w:rsidRDefault="00344A08">
      <w:pPr>
        <w:pStyle w:val="TablZag"/>
      </w:pPr>
      <w:r>
        <w:t>Дозовые коэффициенты для основных ради</w:t>
      </w:r>
      <w:r>
        <w:t>о</w:t>
      </w:r>
      <w:r>
        <w:t xml:space="preserve">нуклидов ряда </w:t>
      </w:r>
      <w:r>
        <w:rPr>
          <w:vertAlign w:val="superscript"/>
        </w:rPr>
        <w:t>232</w:t>
      </w:r>
      <w:r>
        <w:t>Th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135"/>
        <w:gridCol w:w="2665"/>
      </w:tblGrid>
      <w:tr w:rsidR="00344A08" w14:paraId="44AD2F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EC409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>Радиону</w:t>
            </w:r>
            <w:r>
              <w:t>к</w:t>
            </w:r>
            <w:r>
              <w:t>лид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3355B9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 xml:space="preserve">Период </w:t>
            </w:r>
            <w:r>
              <w:br/>
              <w:t>полурасп</w:t>
            </w:r>
            <w:r>
              <w:t>а</w:t>
            </w:r>
            <w: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6C8CDA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>Тип расп</w:t>
            </w:r>
            <w:r>
              <w:t>а</w:t>
            </w:r>
            <w:r>
              <w:t>да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964375F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>Дозовый коэффициент при пер</w:t>
            </w:r>
            <w:r>
              <w:t>о</w:t>
            </w:r>
            <w:r>
              <w:t>ральном поступлении, Зв/Бк</w:t>
            </w:r>
          </w:p>
        </w:tc>
      </w:tr>
      <w:tr w:rsidR="00344A08" w14:paraId="4A137C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1166BB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232</w:t>
            </w:r>
            <w:r>
              <w:t>Th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80B" w14:textId="77777777" w:rsidR="00344A08" w:rsidRDefault="00344A08">
            <w:pPr>
              <w:pStyle w:val="Tablleft"/>
              <w:jc w:val="center"/>
            </w:pPr>
            <w:r>
              <w:t>1,405 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 xml:space="preserve">10 </w:t>
            </w:r>
            <w:r>
              <w:t>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64E3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2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1165C" w14:textId="77777777" w:rsidR="00344A08" w:rsidRDefault="00344A08">
            <w:pPr>
              <w:pStyle w:val="Tablleft"/>
              <w:jc w:val="center"/>
            </w:pPr>
            <w:r>
              <w:t>2,3 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</w:tr>
      <w:tr w:rsidR="00344A08" w14:paraId="452A58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9258E6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228</w:t>
            </w:r>
            <w:r>
              <w:t>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B7E" w14:textId="77777777" w:rsidR="00344A08" w:rsidRDefault="00344A08">
            <w:pPr>
              <w:pStyle w:val="Tablleft"/>
              <w:jc w:val="center"/>
            </w:pPr>
            <w:r>
              <w:t>5,75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1F5BE" w14:textId="77777777" w:rsidR="00344A08" w:rsidRDefault="00344A08">
            <w:pPr>
              <w:pStyle w:val="Tablleft"/>
              <w:jc w:val="center"/>
            </w:pPr>
            <w:r>
              <w:sym w:font="Symbol" w:char="F062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BD531D" w14:textId="77777777" w:rsidR="00344A08" w:rsidRDefault="00344A08">
            <w:pPr>
              <w:pStyle w:val="Tablleft"/>
              <w:jc w:val="center"/>
            </w:pPr>
            <w:r>
              <w:t>6,9 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</w:tr>
      <w:tr w:rsidR="00344A08" w14:paraId="607552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886B7E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228</w:t>
            </w:r>
            <w:r>
              <w:t>Th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4E5" w14:textId="77777777" w:rsidR="00344A08" w:rsidRDefault="00344A08">
            <w:pPr>
              <w:pStyle w:val="Tablleft"/>
              <w:jc w:val="center"/>
            </w:pPr>
            <w:r>
              <w:t>1,913</w:t>
            </w:r>
            <w:r>
              <w:rPr>
                <w:vertAlign w:val="superscript"/>
              </w:rPr>
              <w:t xml:space="preserve"> </w:t>
            </w:r>
            <w: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B476F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70478B" w14:textId="77777777" w:rsidR="00344A08" w:rsidRDefault="00344A08">
            <w:pPr>
              <w:pStyle w:val="Tablleft"/>
              <w:jc w:val="center"/>
            </w:pPr>
            <w:r>
              <w:t>7,2 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</w:tr>
      <w:tr w:rsidR="00344A08" w14:paraId="17F3D8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F44C85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224</w:t>
            </w:r>
            <w:r>
              <w:t>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9B5" w14:textId="77777777" w:rsidR="00344A08" w:rsidRDefault="00344A08">
            <w:pPr>
              <w:pStyle w:val="Tablleft"/>
              <w:jc w:val="center"/>
            </w:pPr>
            <w:r>
              <w:t>3,66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071DA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43CB4E1" w14:textId="77777777" w:rsidR="00344A08" w:rsidRDefault="00344A08">
            <w:pPr>
              <w:pStyle w:val="Tablleft"/>
              <w:jc w:val="center"/>
            </w:pPr>
            <w:r>
              <w:t>6,5 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</w:tr>
      <w:tr w:rsidR="00344A08" w14:paraId="4C5059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D1321A" w14:textId="77777777" w:rsidR="00344A08" w:rsidRDefault="00344A08">
            <w:pPr>
              <w:pStyle w:val="Tablleft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7BCC0F" w14:textId="77777777" w:rsidR="00344A08" w:rsidRDefault="00344A08">
            <w:pPr>
              <w:pStyle w:val="Tablleft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1,06</w:t>
            </w:r>
            <w:r>
              <w:t> </w:t>
            </w:r>
            <w:r>
              <w:sym w:font="Symbol" w:char="F0D7"/>
            </w:r>
            <w:r>
              <w:t> 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-6</w:t>
            </w:r>
          </w:p>
        </w:tc>
      </w:tr>
    </w:tbl>
    <w:p w14:paraId="418B565F" w14:textId="77777777" w:rsidR="00344A08" w:rsidRDefault="00344A08">
      <w:pPr>
        <w:pStyle w:val="bodytext"/>
      </w:pPr>
    </w:p>
    <w:p w14:paraId="197D4F09" w14:textId="77777777" w:rsidR="00344A08" w:rsidRDefault="00344A08">
      <w:pPr>
        <w:pStyle w:val="tabl"/>
      </w:pPr>
      <w:r>
        <w:rPr>
          <w:sz w:val="24"/>
        </w:rPr>
        <w:br w:type="page"/>
      </w:r>
      <w:r>
        <w:lastRenderedPageBreak/>
        <w:t>Приложение 1а</w:t>
      </w:r>
    </w:p>
    <w:p w14:paraId="774DBB8C" w14:textId="77777777" w:rsidR="00344A08" w:rsidRDefault="00344A08">
      <w:pPr>
        <w:pStyle w:val="Zagpril"/>
      </w:pPr>
      <w:bookmarkStart w:id="12" w:name="_Toc1442120"/>
      <w:r>
        <w:t>Дозовые коэффициенты для отдельных радионуклидов рядов урана и тория при их пероральном поступлении в организм критической группы населения [6]</w:t>
      </w:r>
      <w:bookmarkEnd w:id="12"/>
    </w:p>
    <w:p w14:paraId="7C20DB4C" w14:textId="77777777" w:rsidR="00344A08" w:rsidRDefault="00344A08">
      <w:pPr>
        <w:pStyle w:val="tabl"/>
      </w:pPr>
      <w:r>
        <w:t>Таблица П 1.1а</w:t>
      </w:r>
    </w:p>
    <w:p w14:paraId="1389F31D" w14:textId="77777777" w:rsidR="00344A08" w:rsidRDefault="00344A08">
      <w:pPr>
        <w:pStyle w:val="TablZag"/>
      </w:pPr>
      <w:r>
        <w:t>Дозовые коэффициенты для основных</w:t>
      </w:r>
      <w:r>
        <w:rPr>
          <w:rStyle w:val="aa"/>
        </w:rPr>
        <w:footnoteReference w:customMarkFollows="1" w:id="7"/>
        <w:sym w:font="Symbol" w:char="F02A"/>
      </w:r>
      <w:r>
        <w:t xml:space="preserve"> ради</w:t>
      </w:r>
      <w:r>
        <w:t>о</w:t>
      </w:r>
      <w:r>
        <w:t xml:space="preserve">нуклидов ряда </w:t>
      </w:r>
      <w:r>
        <w:rPr>
          <w:vertAlign w:val="superscript"/>
        </w:rPr>
        <w:t>238</w:t>
      </w:r>
      <w:r>
        <w:t>U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928"/>
        <w:gridCol w:w="3119"/>
      </w:tblGrid>
      <w:tr w:rsidR="00344A08" w14:paraId="7474E843" w14:textId="7777777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4066CB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>Радиону</w:t>
            </w:r>
            <w:r>
              <w:t>к</w:t>
            </w:r>
            <w:r>
              <w:t>лид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4499E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>Критическая группа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79245D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 xml:space="preserve">Дозовый коэффициент при </w:t>
            </w:r>
            <w:r>
              <w:br/>
              <w:t>перорал</w:t>
            </w:r>
            <w:r>
              <w:t>ь</w:t>
            </w:r>
            <w:r>
              <w:t>ном поступлении, Зв/Бк</w:t>
            </w:r>
          </w:p>
        </w:tc>
      </w:tr>
      <w:tr w:rsidR="00344A08" w14:paraId="6A2014B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  <w:tcBorders>
              <w:top w:val="nil"/>
            </w:tcBorders>
          </w:tcPr>
          <w:p w14:paraId="43FF426F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238</w:t>
            </w:r>
            <w:r>
              <w:t>U</w:t>
            </w:r>
          </w:p>
        </w:tc>
        <w:tc>
          <w:tcPr>
            <w:tcW w:w="1928" w:type="dxa"/>
            <w:tcBorders>
              <w:top w:val="nil"/>
            </w:tcBorders>
          </w:tcPr>
          <w:p w14:paraId="32A46BF9" w14:textId="77777777" w:rsidR="00344A08" w:rsidRDefault="00344A08">
            <w:pPr>
              <w:pStyle w:val="Tablleft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nil"/>
            </w:tcBorders>
          </w:tcPr>
          <w:p w14:paraId="68CF0C84" w14:textId="77777777" w:rsidR="00344A08" w:rsidRDefault="00344A08">
            <w:pPr>
              <w:pStyle w:val="Tablleft"/>
              <w:jc w:val="center"/>
            </w:pPr>
            <w:r>
              <w:t>1,2 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</w:tr>
      <w:tr w:rsidR="00344A08" w14:paraId="36B37D3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</w:tcPr>
          <w:p w14:paraId="6BC7BED8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234</w:t>
            </w:r>
            <w:r>
              <w:t>Th</w:t>
            </w:r>
          </w:p>
        </w:tc>
        <w:tc>
          <w:tcPr>
            <w:tcW w:w="1928" w:type="dxa"/>
          </w:tcPr>
          <w:p w14:paraId="68F142CD" w14:textId="77777777" w:rsidR="00344A08" w:rsidRDefault="00344A08">
            <w:pPr>
              <w:pStyle w:val="Tablleft"/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0A9CA6B1" w14:textId="77777777" w:rsidR="00344A08" w:rsidRDefault="00344A08">
            <w:pPr>
              <w:pStyle w:val="Tablleft"/>
              <w:jc w:val="center"/>
            </w:pPr>
            <w:r>
              <w:t>2,5 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</w:tr>
      <w:tr w:rsidR="00344A08" w14:paraId="62509A2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</w:tcPr>
          <w:p w14:paraId="1ED76134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234</w:t>
            </w:r>
            <w:r>
              <w:t>U</w:t>
            </w:r>
          </w:p>
        </w:tc>
        <w:tc>
          <w:tcPr>
            <w:tcW w:w="1928" w:type="dxa"/>
          </w:tcPr>
          <w:p w14:paraId="47B8C089" w14:textId="77777777" w:rsidR="00344A08" w:rsidRDefault="00344A08">
            <w:pPr>
              <w:pStyle w:val="Tablleft"/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15BF2DE6" w14:textId="77777777" w:rsidR="00344A08" w:rsidRDefault="00344A08">
            <w:pPr>
              <w:pStyle w:val="Tablleft"/>
              <w:jc w:val="center"/>
            </w:pPr>
            <w:r>
              <w:t>1,3 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</w:tr>
      <w:tr w:rsidR="00344A08" w14:paraId="31877F1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</w:tcPr>
          <w:p w14:paraId="4935F26D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230</w:t>
            </w:r>
            <w:r>
              <w:t>Th</w:t>
            </w:r>
          </w:p>
        </w:tc>
        <w:tc>
          <w:tcPr>
            <w:tcW w:w="1928" w:type="dxa"/>
          </w:tcPr>
          <w:p w14:paraId="35A224E7" w14:textId="77777777" w:rsidR="00344A08" w:rsidRDefault="00344A08">
            <w:pPr>
              <w:pStyle w:val="Tablleft"/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286E7B93" w14:textId="77777777" w:rsidR="00344A08" w:rsidRDefault="00344A08">
            <w:pPr>
              <w:pStyle w:val="Tablleft"/>
              <w:jc w:val="center"/>
            </w:pPr>
            <w:r>
              <w:t>4,1 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</w:tr>
      <w:tr w:rsidR="00344A08" w14:paraId="23E95BE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</w:tcPr>
          <w:p w14:paraId="362329D0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226</w:t>
            </w:r>
            <w:r>
              <w:t>Ra</w:t>
            </w:r>
          </w:p>
        </w:tc>
        <w:tc>
          <w:tcPr>
            <w:tcW w:w="1928" w:type="dxa"/>
          </w:tcPr>
          <w:p w14:paraId="7E07DA97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0E59BE62" w14:textId="77777777" w:rsidR="00344A08" w:rsidRDefault="00344A08">
            <w:pPr>
              <w:pStyle w:val="Tablleft"/>
              <w:jc w:val="center"/>
            </w:pPr>
            <w:r>
              <w:t>1,5 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5916131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</w:tcPr>
          <w:p w14:paraId="4A770CB3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210</w:t>
            </w:r>
            <w:r>
              <w:t>Pb</w:t>
            </w:r>
          </w:p>
        </w:tc>
        <w:tc>
          <w:tcPr>
            <w:tcW w:w="1928" w:type="dxa"/>
          </w:tcPr>
          <w:p w14:paraId="542F04D2" w14:textId="77777777" w:rsidR="00344A08" w:rsidRDefault="00344A08">
            <w:pPr>
              <w:pStyle w:val="Tablleft"/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2AD8C54E" w14:textId="77777777" w:rsidR="00344A08" w:rsidRDefault="00344A08">
            <w:pPr>
              <w:pStyle w:val="Tablleft"/>
              <w:jc w:val="center"/>
            </w:pPr>
            <w:r>
              <w:t>3,6 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2894BD9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</w:tcPr>
          <w:p w14:paraId="3EE6ECFD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210</w:t>
            </w:r>
            <w:r>
              <w:t>Bi</w:t>
            </w:r>
          </w:p>
        </w:tc>
        <w:tc>
          <w:tcPr>
            <w:tcW w:w="1928" w:type="dxa"/>
          </w:tcPr>
          <w:p w14:paraId="3C1E7004" w14:textId="77777777" w:rsidR="00344A08" w:rsidRDefault="00344A08">
            <w:pPr>
              <w:pStyle w:val="Tablleft"/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76BC1594" w14:textId="77777777" w:rsidR="00344A08" w:rsidRDefault="00344A08">
            <w:pPr>
              <w:pStyle w:val="Tablleft"/>
              <w:jc w:val="center"/>
            </w:pPr>
            <w:r>
              <w:t>9,7 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-9</w:t>
            </w:r>
          </w:p>
        </w:tc>
      </w:tr>
      <w:tr w:rsidR="00344A08" w14:paraId="3DA5F18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</w:tcPr>
          <w:p w14:paraId="6D39EFD7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210</w:t>
            </w:r>
            <w:r>
              <w:t>Po</w:t>
            </w:r>
          </w:p>
        </w:tc>
        <w:tc>
          <w:tcPr>
            <w:tcW w:w="1928" w:type="dxa"/>
          </w:tcPr>
          <w:p w14:paraId="62B30ED4" w14:textId="77777777" w:rsidR="00344A08" w:rsidRDefault="00344A08">
            <w:pPr>
              <w:pStyle w:val="Tablleft"/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0A4CC172" w14:textId="77777777" w:rsidR="00344A08" w:rsidRDefault="00344A08">
            <w:pPr>
              <w:pStyle w:val="Tablleft"/>
              <w:jc w:val="center"/>
            </w:pPr>
            <w:r>
              <w:t>8,8 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758D7DF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94" w:type="dxa"/>
            <w:gridSpan w:val="3"/>
          </w:tcPr>
          <w:p w14:paraId="222EB975" w14:textId="77777777" w:rsidR="00344A08" w:rsidRDefault="00344A08">
            <w:pPr>
              <w:pStyle w:val="Tablleft"/>
            </w:pPr>
            <w:r>
              <w:rPr>
                <w:b/>
              </w:rPr>
              <w:t>Примечание.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>
              <w:rPr>
                <w:i/>
              </w:rPr>
              <w:t>Критические группы приняты в соответствие с НРБ-99</w:t>
            </w:r>
            <w:r>
              <w:t>.</w:t>
            </w:r>
          </w:p>
        </w:tc>
      </w:tr>
    </w:tbl>
    <w:p w14:paraId="5025687B" w14:textId="77777777" w:rsidR="00344A08" w:rsidRDefault="00344A08"/>
    <w:p w14:paraId="4626201C" w14:textId="77777777" w:rsidR="00344A08" w:rsidRDefault="00344A08">
      <w:pPr>
        <w:pStyle w:val="tabl"/>
      </w:pPr>
      <w:r>
        <w:t>Таблица П1.2а</w:t>
      </w:r>
    </w:p>
    <w:p w14:paraId="3FAA9B74" w14:textId="77777777" w:rsidR="00344A08" w:rsidRDefault="00344A08">
      <w:pPr>
        <w:pStyle w:val="TablZag"/>
      </w:pPr>
      <w:r>
        <w:t>Дозовые коэффициенты для основных ради</w:t>
      </w:r>
      <w:r>
        <w:t>о</w:t>
      </w:r>
      <w:r>
        <w:t xml:space="preserve">нуклидов ряда </w:t>
      </w:r>
      <w:r>
        <w:rPr>
          <w:vertAlign w:val="superscript"/>
        </w:rPr>
        <w:t>232</w:t>
      </w:r>
      <w:r>
        <w:t>Th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928"/>
        <w:gridCol w:w="3119"/>
      </w:tblGrid>
      <w:tr w:rsidR="00344A08" w14:paraId="56E6059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1A7D59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>Радиону</w:t>
            </w:r>
            <w:r>
              <w:t>к</w:t>
            </w:r>
            <w:r>
              <w:t>лид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76866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>Критическая группа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7CB2D8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 xml:space="preserve">Дозовый коэффициент при </w:t>
            </w:r>
            <w:r>
              <w:br/>
              <w:t>пер</w:t>
            </w:r>
            <w:r>
              <w:t>о</w:t>
            </w:r>
            <w:r>
              <w:t>ральном поступлении, Зв/Бк</w:t>
            </w:r>
          </w:p>
        </w:tc>
      </w:tr>
      <w:tr w:rsidR="00344A08" w14:paraId="21F4B96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  <w:tcBorders>
              <w:top w:val="nil"/>
            </w:tcBorders>
          </w:tcPr>
          <w:p w14:paraId="5171A59C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232</w:t>
            </w:r>
            <w:r>
              <w:t>Th</w:t>
            </w:r>
          </w:p>
        </w:tc>
        <w:tc>
          <w:tcPr>
            <w:tcW w:w="1928" w:type="dxa"/>
            <w:tcBorders>
              <w:top w:val="nil"/>
            </w:tcBorders>
          </w:tcPr>
          <w:p w14:paraId="0FEB2226" w14:textId="77777777" w:rsidR="00344A08" w:rsidRDefault="00344A08">
            <w:pPr>
              <w:pStyle w:val="Tablleft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nil"/>
            </w:tcBorders>
          </w:tcPr>
          <w:p w14:paraId="4A89C26D" w14:textId="77777777" w:rsidR="00344A08" w:rsidRDefault="00344A08">
            <w:pPr>
              <w:pStyle w:val="Tablleft"/>
              <w:jc w:val="center"/>
            </w:pPr>
            <w:r>
              <w:t>4,5 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</w:tr>
      <w:tr w:rsidR="00344A08" w14:paraId="3311E4C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</w:tcPr>
          <w:p w14:paraId="447943D0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228</w:t>
            </w:r>
            <w:r>
              <w:t>Ra</w:t>
            </w:r>
          </w:p>
        </w:tc>
        <w:tc>
          <w:tcPr>
            <w:tcW w:w="1928" w:type="dxa"/>
          </w:tcPr>
          <w:p w14:paraId="7B2B6085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4A22C5FA" w14:textId="77777777" w:rsidR="00344A08" w:rsidRDefault="00344A08">
            <w:pPr>
              <w:pStyle w:val="Tablleft"/>
              <w:jc w:val="center"/>
            </w:pPr>
            <w:r>
              <w:t>5,3 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7BBBDE2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</w:tcPr>
          <w:p w14:paraId="50839CA2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228</w:t>
            </w:r>
            <w:r>
              <w:t>Th</w:t>
            </w:r>
          </w:p>
        </w:tc>
        <w:tc>
          <w:tcPr>
            <w:tcW w:w="1928" w:type="dxa"/>
          </w:tcPr>
          <w:p w14:paraId="641CDEF9" w14:textId="77777777" w:rsidR="00344A08" w:rsidRDefault="00344A08">
            <w:pPr>
              <w:pStyle w:val="Tablleft"/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42A2D46B" w14:textId="77777777" w:rsidR="00344A08" w:rsidRDefault="00344A08">
            <w:pPr>
              <w:pStyle w:val="Tablleft"/>
              <w:jc w:val="center"/>
            </w:pPr>
            <w:r>
              <w:t>3,7 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</w:tr>
      <w:tr w:rsidR="00344A08" w14:paraId="0CB1DB1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dxa"/>
          </w:tcPr>
          <w:p w14:paraId="7146F488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224</w:t>
            </w:r>
            <w:r>
              <w:t>Ra</w:t>
            </w:r>
          </w:p>
        </w:tc>
        <w:tc>
          <w:tcPr>
            <w:tcW w:w="1928" w:type="dxa"/>
          </w:tcPr>
          <w:p w14:paraId="4A1FE83D" w14:textId="77777777" w:rsidR="00344A08" w:rsidRDefault="00344A08">
            <w:pPr>
              <w:pStyle w:val="Tablleft"/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451D361D" w14:textId="77777777" w:rsidR="00344A08" w:rsidRDefault="00344A08">
            <w:pPr>
              <w:pStyle w:val="Tablleft"/>
              <w:jc w:val="center"/>
            </w:pPr>
            <w:r>
              <w:t>6,6 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</w:tr>
      <w:tr w:rsidR="00344A08" w14:paraId="053D2E9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94" w:type="dxa"/>
            <w:gridSpan w:val="3"/>
          </w:tcPr>
          <w:p w14:paraId="1E2ED20E" w14:textId="77777777" w:rsidR="00344A08" w:rsidRDefault="00344A08">
            <w:pPr>
              <w:pStyle w:val="Tablleft"/>
              <w:spacing w:before="40" w:after="40"/>
            </w:pPr>
            <w:r>
              <w:rPr>
                <w:b/>
              </w:rPr>
              <w:t>Примечание.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>
              <w:rPr>
                <w:i/>
              </w:rPr>
              <w:t>Критические группы приняты в соответствие с НРБ-99</w:t>
            </w:r>
            <w:r>
              <w:t>.</w:t>
            </w:r>
          </w:p>
        </w:tc>
      </w:tr>
    </w:tbl>
    <w:p w14:paraId="17321A79" w14:textId="77777777" w:rsidR="00344A08" w:rsidRDefault="00344A08">
      <w:pPr>
        <w:pStyle w:val="tabl"/>
      </w:pPr>
      <w:r>
        <w:rPr>
          <w:sz w:val="24"/>
        </w:rPr>
        <w:br w:type="page"/>
      </w:r>
      <w:r>
        <w:lastRenderedPageBreak/>
        <w:t>Приложение 2</w:t>
      </w:r>
    </w:p>
    <w:p w14:paraId="782E5AD6" w14:textId="77777777" w:rsidR="00344A08" w:rsidRDefault="00344A08">
      <w:pPr>
        <w:pStyle w:val="Zagpril"/>
        <w:spacing w:before="0" w:after="60"/>
      </w:pPr>
      <w:bookmarkStart w:id="13" w:name="_Toc1442121"/>
      <w:r>
        <w:t xml:space="preserve">Дозовые коэффициенты для радионуклидов рядов урана и тория при их ингаляционном поступлении в организм </w:t>
      </w:r>
      <w:r>
        <w:br/>
        <w:t>взрослых жителей [6]</w:t>
      </w:r>
      <w:bookmarkEnd w:id="13"/>
    </w:p>
    <w:p w14:paraId="255FBD81" w14:textId="77777777" w:rsidR="00344A08" w:rsidRDefault="00344A08">
      <w:pPr>
        <w:pStyle w:val="tabl"/>
        <w:spacing w:before="0"/>
      </w:pPr>
      <w:r>
        <w:t>Таблица П 2.1</w:t>
      </w:r>
    </w:p>
    <w:p w14:paraId="64F5B7C8" w14:textId="77777777" w:rsidR="00344A08" w:rsidRDefault="00344A08">
      <w:pPr>
        <w:pStyle w:val="TablZag"/>
      </w:pPr>
      <w:r>
        <w:t>Дозовые коэффициенты для отдельных ради</w:t>
      </w:r>
      <w:r>
        <w:t>о</w:t>
      </w:r>
      <w:r>
        <w:t xml:space="preserve">нуклидов ряда </w:t>
      </w:r>
      <w:r>
        <w:rPr>
          <w:vertAlign w:val="superscript"/>
        </w:rPr>
        <w:t>238</w:t>
      </w:r>
      <w:r>
        <w:t>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1134"/>
        <w:gridCol w:w="445"/>
        <w:gridCol w:w="632"/>
        <w:gridCol w:w="956"/>
        <w:gridCol w:w="65"/>
        <w:gridCol w:w="1353"/>
        <w:gridCol w:w="235"/>
        <w:gridCol w:w="1418"/>
      </w:tblGrid>
      <w:tr w:rsidR="00344A08" w14:paraId="35898081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653" w:type="dxa"/>
          <w:cantSplit/>
          <w:tblHeader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D28" w14:textId="77777777" w:rsidR="00344A08" w:rsidRDefault="00344A08">
            <w:pPr>
              <w:pStyle w:val="Tablleft"/>
              <w:jc w:val="center"/>
              <w:rPr>
                <w:spacing w:val="-6"/>
              </w:rPr>
            </w:pPr>
            <w:r>
              <w:rPr>
                <w:spacing w:val="-6"/>
              </w:rPr>
              <w:t>Радиону</w:t>
            </w:r>
            <w:r>
              <w:rPr>
                <w:spacing w:val="-6"/>
              </w:rPr>
              <w:t>к</w:t>
            </w:r>
            <w:r>
              <w:rPr>
                <w:spacing w:val="-6"/>
              </w:rPr>
              <w:t>лид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7C8" w14:textId="77777777" w:rsidR="00344A08" w:rsidRDefault="00344A08">
            <w:pPr>
              <w:pStyle w:val="Tablleft"/>
              <w:jc w:val="center"/>
            </w:pPr>
            <w:r>
              <w:t xml:space="preserve">Период </w:t>
            </w:r>
            <w:r>
              <w:rPr>
                <w:spacing w:val="-4"/>
              </w:rPr>
              <w:t>п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лурасп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да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BBD" w14:textId="77777777" w:rsidR="00344A08" w:rsidRDefault="00344A08">
            <w:pPr>
              <w:pStyle w:val="Tablleft"/>
              <w:jc w:val="center"/>
              <w:rPr>
                <w:spacing w:val="-6"/>
              </w:rPr>
            </w:pPr>
            <w:r>
              <w:rPr>
                <w:spacing w:val="-6"/>
              </w:rPr>
              <w:t>Тип расп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>да</w:t>
            </w:r>
          </w:p>
        </w:tc>
        <w:tc>
          <w:tcPr>
            <w:tcW w:w="30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AC7176" w14:textId="77777777" w:rsidR="00344A08" w:rsidRDefault="00344A08">
            <w:pPr>
              <w:pStyle w:val="Tablleft"/>
              <w:jc w:val="center"/>
            </w:pPr>
            <w:r>
              <w:t>Дозовый коэффициент при ингаляц</w:t>
            </w:r>
            <w:r>
              <w:t>и</w:t>
            </w:r>
            <w:r>
              <w:t>онном посту</w:t>
            </w:r>
            <w:r>
              <w:t>п</w:t>
            </w:r>
            <w:r>
              <w:t>лении, Зв/Бк</w:t>
            </w:r>
          </w:p>
        </w:tc>
      </w:tr>
      <w:tr w:rsidR="00344A08" w14:paraId="2996EB9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653" w:type="dxa"/>
          <w:cantSplit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139706" w14:textId="77777777" w:rsidR="00344A08" w:rsidRDefault="00344A08">
            <w:pPr>
              <w:pStyle w:val="Tablleft"/>
              <w:jc w:val="center"/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95A9EE" w14:textId="77777777" w:rsidR="00344A08" w:rsidRDefault="00344A08">
            <w:pPr>
              <w:pStyle w:val="Tablleft"/>
              <w:jc w:val="center"/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A4E6E8" w14:textId="77777777" w:rsidR="00344A08" w:rsidRDefault="00344A08">
            <w:pPr>
              <w:pStyle w:val="Tablleft"/>
              <w:jc w:val="center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3B04C8" w14:textId="77777777" w:rsidR="00344A08" w:rsidRDefault="00344A08">
            <w:pPr>
              <w:pStyle w:val="Tablleft"/>
              <w:jc w:val="center"/>
              <w:rPr>
                <w:spacing w:val="-6"/>
              </w:rPr>
            </w:pPr>
            <w:r>
              <w:rPr>
                <w:spacing w:val="-6"/>
              </w:rPr>
              <w:t>Тип соединения –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3356D5" w14:textId="77777777" w:rsidR="00344A08" w:rsidRDefault="00344A08">
            <w:pPr>
              <w:pStyle w:val="Tablleft"/>
              <w:jc w:val="center"/>
            </w:pPr>
            <w:r>
              <w:t>Максимал</w:t>
            </w:r>
            <w:r>
              <w:t>ь</w:t>
            </w:r>
            <w:r>
              <w:t>ный</w:t>
            </w:r>
          </w:p>
        </w:tc>
      </w:tr>
      <w:tr w:rsidR="00344A08" w14:paraId="7853C02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653" w:type="dxa"/>
          <w:cantSplit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D9D5C2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238</w:t>
            </w:r>
            <w:r>
              <w:t>U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BC9" w14:textId="77777777" w:rsidR="00344A08" w:rsidRDefault="00344A08">
            <w:pPr>
              <w:pStyle w:val="Tablleft"/>
              <w:jc w:val="center"/>
            </w:pPr>
            <w:r>
              <w:t>4,77 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 xml:space="preserve">9 </w:t>
            </w:r>
            <w:r>
              <w:t>лет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7F8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F471" w14:textId="77777777" w:rsidR="00344A08" w:rsidRDefault="00344A08">
            <w:pPr>
              <w:pStyle w:val="Tablleft"/>
              <w:jc w:val="center"/>
            </w:pPr>
            <w:r>
              <w:t>2,9 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064361" w14:textId="77777777" w:rsidR="00344A08" w:rsidRDefault="00344A08">
            <w:pPr>
              <w:pStyle w:val="Tablleft"/>
              <w:jc w:val="center"/>
            </w:pPr>
            <w:r>
              <w:t>8,0 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07C8F7F4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653" w:type="dxa"/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FF3876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234</w:t>
            </w:r>
            <w:r>
              <w:t>Th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BCC" w14:textId="77777777" w:rsidR="00344A08" w:rsidRDefault="00344A08">
            <w:pPr>
              <w:pStyle w:val="Tablleft"/>
              <w:jc w:val="center"/>
            </w:pPr>
            <w:r>
              <w:t>24,10 дней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BE48" w14:textId="77777777" w:rsidR="00344A08" w:rsidRDefault="00344A08">
            <w:pPr>
              <w:pStyle w:val="Tablleft"/>
              <w:jc w:val="center"/>
            </w:pPr>
            <w:r>
              <w:sym w:font="Symbol" w:char="F062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3CE" w14:textId="77777777" w:rsidR="00344A08" w:rsidRDefault="00344A08">
            <w:pPr>
              <w:pStyle w:val="Tablleft"/>
              <w:jc w:val="center"/>
            </w:pPr>
            <w:r>
              <w:t>6,6 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C56538" w14:textId="77777777" w:rsidR="00344A08" w:rsidRDefault="00344A08">
            <w:pPr>
              <w:pStyle w:val="Tablleft"/>
              <w:jc w:val="center"/>
            </w:pPr>
            <w:r>
              <w:t>7,7 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-9</w:t>
            </w:r>
          </w:p>
        </w:tc>
      </w:tr>
      <w:tr w:rsidR="00344A08" w14:paraId="28AF65E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653" w:type="dxa"/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DD009D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234</w:t>
            </w:r>
            <w:r>
              <w:t xml:space="preserve"> Pa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0FD" w14:textId="77777777" w:rsidR="00344A08" w:rsidRDefault="00344A08">
            <w:pPr>
              <w:pStyle w:val="Tablleft"/>
              <w:jc w:val="center"/>
            </w:pPr>
            <w:r>
              <w:t>1,17 мин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73E" w14:textId="77777777" w:rsidR="00344A08" w:rsidRDefault="00344A08">
            <w:pPr>
              <w:pStyle w:val="Tablleft"/>
              <w:jc w:val="center"/>
            </w:pPr>
            <w:r>
              <w:sym w:font="Symbol" w:char="F062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B3E" w14:textId="77777777" w:rsidR="00344A08" w:rsidRDefault="00344A08">
            <w:pPr>
              <w:pStyle w:val="Tablleft"/>
              <w:jc w:val="center"/>
            </w:pPr>
            <w:r>
              <w:t>3,8 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B67B92" w14:textId="77777777" w:rsidR="00344A08" w:rsidRDefault="00344A08">
            <w:pPr>
              <w:pStyle w:val="Tablleft"/>
              <w:jc w:val="center"/>
            </w:pPr>
            <w:r>
              <w:t>4,0 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-10</w:t>
            </w:r>
          </w:p>
        </w:tc>
      </w:tr>
      <w:tr w:rsidR="00344A08" w14:paraId="7D94670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653" w:type="dxa"/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E55543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234</w:t>
            </w:r>
            <w:r>
              <w:t>U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DF54" w14:textId="77777777" w:rsidR="00344A08" w:rsidRDefault="00344A08">
            <w:pPr>
              <w:pStyle w:val="Tablleft"/>
              <w:jc w:val="center"/>
            </w:pPr>
            <w:r>
              <w:t>2,45 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 xml:space="preserve">5 </w:t>
            </w:r>
            <w:r>
              <w:t>лет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A3F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FD5" w14:textId="77777777" w:rsidR="00344A08" w:rsidRDefault="00344A08">
            <w:pPr>
              <w:pStyle w:val="Tablleft"/>
              <w:jc w:val="center"/>
            </w:pPr>
            <w:r>
              <w:t>3,5 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445C43" w14:textId="77777777" w:rsidR="00344A08" w:rsidRDefault="00344A08">
            <w:pPr>
              <w:pStyle w:val="Tablleft"/>
              <w:jc w:val="center"/>
            </w:pPr>
            <w:r>
              <w:t>9,4 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6AB4033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653" w:type="dxa"/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417EF0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230</w:t>
            </w:r>
            <w:r>
              <w:t>Th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FB9" w14:textId="77777777" w:rsidR="00344A08" w:rsidRDefault="00344A08">
            <w:pPr>
              <w:pStyle w:val="Tablleft"/>
              <w:jc w:val="center"/>
            </w:pPr>
            <w:r>
              <w:t>7,70 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 xml:space="preserve">4 </w:t>
            </w:r>
            <w:r>
              <w:t>лет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A36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47B1" w14:textId="77777777" w:rsidR="00344A08" w:rsidRDefault="00344A08">
            <w:pPr>
              <w:pStyle w:val="Tablleft"/>
              <w:jc w:val="center"/>
            </w:pPr>
            <w:r>
              <w:t>4,3 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F1FE41" w14:textId="77777777" w:rsidR="00344A08" w:rsidRDefault="00344A08">
            <w:pPr>
              <w:pStyle w:val="Tablleft"/>
              <w:jc w:val="center"/>
            </w:pPr>
            <w:r>
              <w:t>1,0 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-4</w:t>
            </w:r>
          </w:p>
        </w:tc>
      </w:tr>
      <w:tr w:rsidR="00344A08" w14:paraId="401CE33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653" w:type="dxa"/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C3BB6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226</w:t>
            </w:r>
            <w:r>
              <w:t>Ra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9B7" w14:textId="77777777" w:rsidR="00344A08" w:rsidRDefault="00344A08">
            <w:pPr>
              <w:pStyle w:val="Tablleft"/>
              <w:jc w:val="center"/>
            </w:pPr>
            <w:r>
              <w:t>1600 лет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EF3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8A6" w14:textId="77777777" w:rsidR="00344A08" w:rsidRDefault="00344A08">
            <w:pPr>
              <w:pStyle w:val="Tablleft"/>
              <w:jc w:val="center"/>
            </w:pPr>
            <w:r>
              <w:t>3,5 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50997B" w14:textId="77777777" w:rsidR="00344A08" w:rsidRDefault="00344A08">
            <w:pPr>
              <w:pStyle w:val="Tablleft"/>
              <w:jc w:val="center"/>
            </w:pPr>
            <w:r>
              <w:t>9,5 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4B6B75F1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653" w:type="dxa"/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45A586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214</w:t>
            </w:r>
            <w:r>
              <w:t>Pb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8C7" w14:textId="77777777" w:rsidR="00344A08" w:rsidRDefault="00344A08">
            <w:pPr>
              <w:pStyle w:val="Tablleft"/>
              <w:jc w:val="center"/>
            </w:pPr>
            <w:r>
              <w:t>26,8 мин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EA0" w14:textId="77777777" w:rsidR="00344A08" w:rsidRDefault="00344A08">
            <w:pPr>
              <w:pStyle w:val="Tablleft"/>
              <w:jc w:val="center"/>
            </w:pPr>
            <w:r>
              <w:sym w:font="Symbol" w:char="F062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325" w14:textId="77777777" w:rsidR="00344A08" w:rsidRDefault="00344A08">
            <w:pPr>
              <w:pStyle w:val="Tablleft"/>
              <w:jc w:val="center"/>
            </w:pPr>
            <w:r>
              <w:t>1,4 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334F07" w14:textId="77777777" w:rsidR="00344A08" w:rsidRDefault="00344A08">
            <w:pPr>
              <w:pStyle w:val="Tablleft"/>
              <w:jc w:val="center"/>
            </w:pPr>
            <w:r>
              <w:t>1,5 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</w:tr>
      <w:tr w:rsidR="00344A08" w14:paraId="4D29209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653" w:type="dxa"/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87371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CED" w14:textId="77777777" w:rsidR="00344A08" w:rsidRDefault="00344A08">
            <w:pPr>
              <w:pStyle w:val="Tablleft"/>
              <w:jc w:val="center"/>
            </w:pPr>
            <w:r>
              <w:t>19,9 мин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1C6" w14:textId="77777777" w:rsidR="00344A08" w:rsidRDefault="00344A08">
            <w:pPr>
              <w:pStyle w:val="Tablleft"/>
              <w:jc w:val="center"/>
            </w:pPr>
            <w:r>
              <w:sym w:font="Symbol" w:char="F062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32F" w14:textId="77777777" w:rsidR="00344A08" w:rsidRDefault="00344A08">
            <w:pPr>
              <w:pStyle w:val="Tablleft"/>
              <w:jc w:val="center"/>
            </w:pPr>
            <w:r>
              <w:t>1,4 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8374EB" w14:textId="77777777" w:rsidR="00344A08" w:rsidRDefault="00344A08">
            <w:pPr>
              <w:pStyle w:val="Tablleft"/>
              <w:jc w:val="center"/>
            </w:pPr>
            <w:r>
              <w:t>1,4 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</w:tr>
      <w:tr w:rsidR="00344A08" w14:paraId="127A455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653" w:type="dxa"/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D4B95B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210</w:t>
            </w:r>
            <w:r>
              <w:t>Pb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E87" w14:textId="77777777" w:rsidR="00344A08" w:rsidRDefault="00344A08">
            <w:pPr>
              <w:pStyle w:val="Tablleft"/>
              <w:jc w:val="center"/>
            </w:pPr>
            <w:r>
              <w:t>22,3 года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3C0D" w14:textId="77777777" w:rsidR="00344A08" w:rsidRDefault="00344A08">
            <w:pPr>
              <w:pStyle w:val="Tablleft"/>
              <w:jc w:val="center"/>
            </w:pPr>
            <w:r>
              <w:sym w:font="Symbol" w:char="F062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6B61" w14:textId="77777777" w:rsidR="00344A08" w:rsidRDefault="00344A08">
            <w:pPr>
              <w:pStyle w:val="Tablleft"/>
              <w:jc w:val="center"/>
            </w:pPr>
            <w:r>
              <w:t>1,1 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874BF8" w14:textId="77777777" w:rsidR="00344A08" w:rsidRDefault="00344A08">
            <w:pPr>
              <w:pStyle w:val="Tablleft"/>
              <w:jc w:val="center"/>
            </w:pPr>
            <w:r>
              <w:t>5,6 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5E7E6091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653" w:type="dxa"/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2985B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210</w:t>
            </w:r>
            <w:r>
              <w:t>Bi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CA06" w14:textId="77777777" w:rsidR="00344A08" w:rsidRDefault="00344A08">
            <w:pPr>
              <w:pStyle w:val="Tablleft"/>
              <w:jc w:val="center"/>
            </w:pPr>
            <w:r>
              <w:t>5,013 дня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8D4" w14:textId="77777777" w:rsidR="00344A08" w:rsidRDefault="00344A08">
            <w:pPr>
              <w:pStyle w:val="Tablleft"/>
              <w:jc w:val="center"/>
            </w:pPr>
            <w:r>
              <w:sym w:font="Symbol" w:char="F062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E892" w14:textId="77777777" w:rsidR="00344A08" w:rsidRDefault="00344A08">
            <w:pPr>
              <w:pStyle w:val="Tablleft"/>
              <w:jc w:val="center"/>
            </w:pPr>
            <w:r>
              <w:t>9,3 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37171B" w14:textId="77777777" w:rsidR="00344A08" w:rsidRDefault="00344A08">
            <w:pPr>
              <w:pStyle w:val="Tablleft"/>
              <w:jc w:val="center"/>
            </w:pPr>
            <w:r>
              <w:t>9,3 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</w:tr>
      <w:tr w:rsidR="00344A08" w14:paraId="2973FA4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653" w:type="dxa"/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4B7AE3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210</w:t>
            </w:r>
            <w:r>
              <w:t>Po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B612A2" w14:textId="77777777" w:rsidR="00344A08" w:rsidRDefault="00344A08">
            <w:pPr>
              <w:pStyle w:val="Tablleft"/>
              <w:jc w:val="center"/>
            </w:pPr>
            <w:r>
              <w:t>138,4 дня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F5A538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D0436B" w14:textId="77777777" w:rsidR="00344A08" w:rsidRDefault="00344A08">
            <w:pPr>
              <w:pStyle w:val="Tablleft"/>
              <w:jc w:val="center"/>
            </w:pPr>
            <w:r>
              <w:t>3,3 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B70CD5" w14:textId="77777777" w:rsidR="00344A08" w:rsidRDefault="00344A08">
            <w:pPr>
              <w:pStyle w:val="Tablleft"/>
              <w:jc w:val="center"/>
            </w:pPr>
            <w:r>
              <w:t>4,3 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3DCB7D8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52" w:type="dxa"/>
          <w:jc w:val="center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547643" w14:textId="77777777" w:rsidR="00344A08" w:rsidRDefault="00344A08">
            <w:pPr>
              <w:pStyle w:val="Tablleft"/>
              <w:jc w:val="center"/>
              <w:rPr>
                <w:b/>
              </w:rPr>
            </w:pPr>
            <w:r>
              <w:rPr>
                <w:b/>
              </w:rPr>
              <w:t>Су</w:t>
            </w:r>
            <w:r>
              <w:rPr>
                <w:b/>
              </w:rPr>
              <w:t>м</w:t>
            </w:r>
            <w:r>
              <w:rPr>
                <w:b/>
              </w:rPr>
              <w:t>ма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49E2B4" w14:textId="77777777" w:rsidR="00344A08" w:rsidRDefault="00344A08">
            <w:pPr>
              <w:pStyle w:val="Tablleft"/>
              <w:jc w:val="center"/>
              <w:rPr>
                <w:b/>
              </w:rPr>
            </w:pPr>
            <w:r>
              <w:rPr>
                <w:b/>
              </w:rPr>
              <w:t>5,74</w:t>
            </w:r>
            <w:r>
              <w:t> </w:t>
            </w:r>
            <w:r>
              <w:sym w:font="Symbol" w:char="F0D7"/>
            </w:r>
            <w:r>
              <w:t> 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-5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8AB842" w14:textId="77777777" w:rsidR="00344A08" w:rsidRDefault="00344A08">
            <w:pPr>
              <w:pStyle w:val="Tablleft"/>
              <w:jc w:val="center"/>
              <w:rPr>
                <w:b/>
              </w:rPr>
            </w:pPr>
            <w:r>
              <w:rPr>
                <w:b/>
              </w:rPr>
              <w:t>13,70</w:t>
            </w:r>
            <w:r>
              <w:t> </w:t>
            </w:r>
            <w:r>
              <w:sym w:font="Symbol" w:char="F0D7"/>
            </w:r>
            <w:r>
              <w:t> 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-5</w:t>
            </w:r>
          </w:p>
        </w:tc>
      </w:tr>
    </w:tbl>
    <w:p w14:paraId="429BFCE3" w14:textId="77777777" w:rsidR="00344A08" w:rsidRDefault="00344A08">
      <w:pPr>
        <w:pStyle w:val="tabl"/>
        <w:spacing w:before="120"/>
      </w:pPr>
      <w:r>
        <w:t>Таблица П 2.2</w:t>
      </w:r>
    </w:p>
    <w:p w14:paraId="75415D90" w14:textId="77777777" w:rsidR="00344A08" w:rsidRDefault="00344A08">
      <w:pPr>
        <w:pStyle w:val="TablZag"/>
      </w:pPr>
      <w:r>
        <w:t>Дозовые коэффициенты для отдельных ради</w:t>
      </w:r>
      <w:r>
        <w:t>о</w:t>
      </w:r>
      <w:r>
        <w:t xml:space="preserve">нуклидов ряда </w:t>
      </w:r>
      <w:r>
        <w:rPr>
          <w:vertAlign w:val="superscript"/>
        </w:rPr>
        <w:t>232</w:t>
      </w:r>
      <w:r>
        <w:t>Th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22"/>
        <w:gridCol w:w="899"/>
        <w:gridCol w:w="122"/>
        <w:gridCol w:w="558"/>
        <w:gridCol w:w="397"/>
        <w:gridCol w:w="122"/>
        <w:gridCol w:w="1012"/>
        <w:gridCol w:w="57"/>
        <w:gridCol w:w="65"/>
        <w:gridCol w:w="1353"/>
        <w:gridCol w:w="113"/>
        <w:gridCol w:w="122"/>
        <w:gridCol w:w="1296"/>
        <w:gridCol w:w="122"/>
      </w:tblGrid>
      <w:tr w:rsidR="00344A08" w14:paraId="7018391E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1653" w:type="dxa"/>
          <w:cantSplit/>
          <w:tblHeader/>
          <w:jc w:val="center"/>
        </w:trPr>
        <w:tc>
          <w:tcPr>
            <w:tcW w:w="1021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67AF59FE" w14:textId="77777777" w:rsidR="00344A08" w:rsidRDefault="00344A08">
            <w:pPr>
              <w:pStyle w:val="Tablleft"/>
              <w:jc w:val="center"/>
              <w:rPr>
                <w:spacing w:val="-10"/>
              </w:rPr>
            </w:pPr>
            <w:r>
              <w:rPr>
                <w:spacing w:val="-10"/>
              </w:rPr>
              <w:t>Радиону</w:t>
            </w:r>
            <w:r>
              <w:rPr>
                <w:spacing w:val="-10"/>
              </w:rPr>
              <w:t>к</w:t>
            </w:r>
            <w:r>
              <w:rPr>
                <w:spacing w:val="-10"/>
              </w:rPr>
              <w:t>лид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4D1C48B4" w14:textId="77777777" w:rsidR="00344A08" w:rsidRDefault="00344A08">
            <w:pPr>
              <w:pStyle w:val="Tablleft"/>
              <w:jc w:val="center"/>
            </w:pPr>
            <w:r>
              <w:t xml:space="preserve">Период </w:t>
            </w:r>
            <w:r>
              <w:rPr>
                <w:spacing w:val="-4"/>
              </w:rPr>
              <w:t>п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лурасп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да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511DFCA7" w14:textId="77777777" w:rsidR="00344A08" w:rsidRDefault="00344A08">
            <w:pPr>
              <w:pStyle w:val="Tablleft"/>
              <w:jc w:val="center"/>
              <w:rPr>
                <w:spacing w:val="-6"/>
              </w:rPr>
            </w:pPr>
            <w:r>
              <w:rPr>
                <w:spacing w:val="-6"/>
              </w:rPr>
              <w:t>Тип расп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>да</w:t>
            </w:r>
          </w:p>
        </w:tc>
        <w:tc>
          <w:tcPr>
            <w:tcW w:w="3005" w:type="dxa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14:paraId="067275A7" w14:textId="77777777" w:rsidR="00344A08" w:rsidRDefault="00344A08">
            <w:pPr>
              <w:pStyle w:val="Tablleft"/>
              <w:jc w:val="center"/>
            </w:pPr>
            <w:r>
              <w:t>Дозовый коэффициент при ингаляц</w:t>
            </w:r>
            <w:r>
              <w:t>и</w:t>
            </w:r>
            <w:r>
              <w:t>онном посту</w:t>
            </w:r>
            <w:r>
              <w:t>п</w:t>
            </w:r>
            <w:r>
              <w:t>лении, Зв/Бк</w:t>
            </w:r>
          </w:p>
        </w:tc>
      </w:tr>
      <w:tr w:rsidR="00344A08" w14:paraId="017B2C28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1653" w:type="dxa"/>
          <w:cantSplit/>
          <w:jc w:val="center"/>
        </w:trPr>
        <w:tc>
          <w:tcPr>
            <w:tcW w:w="1021" w:type="dxa"/>
            <w:gridSpan w:val="2"/>
            <w:vMerge/>
            <w:tcBorders>
              <w:top w:val="nil"/>
              <w:bottom w:val="single" w:sz="8" w:space="0" w:color="auto"/>
            </w:tcBorders>
          </w:tcPr>
          <w:p w14:paraId="6C542F9A" w14:textId="77777777" w:rsidR="00344A08" w:rsidRDefault="00344A08">
            <w:pPr>
              <w:pStyle w:val="Tablleft"/>
              <w:jc w:val="center"/>
            </w:pPr>
          </w:p>
        </w:tc>
        <w:tc>
          <w:tcPr>
            <w:tcW w:w="1077" w:type="dxa"/>
            <w:gridSpan w:val="3"/>
            <w:vMerge/>
            <w:tcBorders>
              <w:top w:val="nil"/>
              <w:bottom w:val="single" w:sz="8" w:space="0" w:color="auto"/>
            </w:tcBorders>
          </w:tcPr>
          <w:p w14:paraId="74B322F3" w14:textId="77777777" w:rsidR="00344A08" w:rsidRDefault="00344A08">
            <w:pPr>
              <w:pStyle w:val="Tablleft"/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bottom w:val="single" w:sz="8" w:space="0" w:color="auto"/>
            </w:tcBorders>
          </w:tcPr>
          <w:p w14:paraId="1750B5CC" w14:textId="77777777" w:rsidR="00344A08" w:rsidRDefault="00344A08">
            <w:pPr>
              <w:pStyle w:val="Tablleft"/>
              <w:jc w:val="center"/>
            </w:pPr>
          </w:p>
        </w:tc>
        <w:tc>
          <w:tcPr>
            <w:tcW w:w="1588" w:type="dxa"/>
            <w:gridSpan w:val="3"/>
            <w:tcBorders>
              <w:top w:val="nil"/>
              <w:bottom w:val="single" w:sz="8" w:space="0" w:color="auto"/>
            </w:tcBorders>
          </w:tcPr>
          <w:p w14:paraId="0E5B0DC8" w14:textId="77777777" w:rsidR="00344A08" w:rsidRDefault="00344A08">
            <w:pPr>
              <w:pStyle w:val="Tablleft"/>
              <w:jc w:val="center"/>
              <w:rPr>
                <w:spacing w:val="-8"/>
              </w:rPr>
            </w:pPr>
            <w:r>
              <w:rPr>
                <w:spacing w:val="-8"/>
              </w:rPr>
              <w:t>Тип соединения – П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8" w:space="0" w:color="auto"/>
            </w:tcBorders>
          </w:tcPr>
          <w:p w14:paraId="562C6DBF" w14:textId="77777777" w:rsidR="00344A08" w:rsidRDefault="00344A08">
            <w:pPr>
              <w:pStyle w:val="Tablleft"/>
              <w:jc w:val="center"/>
              <w:rPr>
                <w:b/>
              </w:rPr>
            </w:pPr>
            <w:r>
              <w:rPr>
                <w:b/>
              </w:rPr>
              <w:t>Максимал</w:t>
            </w:r>
            <w:r>
              <w:rPr>
                <w:b/>
              </w:rPr>
              <w:t>ь</w:t>
            </w:r>
            <w:r>
              <w:rPr>
                <w:b/>
              </w:rPr>
              <w:t>ный</w:t>
            </w:r>
          </w:p>
        </w:tc>
      </w:tr>
      <w:tr w:rsidR="00344A08" w14:paraId="590934C8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1" w:type="dxa"/>
          <w:wAfter w:w="121" w:type="dxa"/>
          <w:jc w:val="center"/>
        </w:trPr>
        <w:tc>
          <w:tcPr>
            <w:tcW w:w="1021" w:type="dxa"/>
            <w:gridSpan w:val="2"/>
          </w:tcPr>
          <w:p w14:paraId="6D599FFE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232</w:t>
            </w:r>
            <w:r>
              <w:t>Th</w:t>
            </w:r>
          </w:p>
        </w:tc>
        <w:tc>
          <w:tcPr>
            <w:tcW w:w="1077" w:type="dxa"/>
            <w:gridSpan w:val="3"/>
          </w:tcPr>
          <w:p w14:paraId="225BCC96" w14:textId="77777777" w:rsidR="00344A08" w:rsidRDefault="00344A08">
            <w:pPr>
              <w:pStyle w:val="Tablleft"/>
              <w:jc w:val="center"/>
              <w:rPr>
                <w:spacing w:val="-8"/>
              </w:rPr>
            </w:pPr>
            <w:r>
              <w:rPr>
                <w:spacing w:val="-8"/>
              </w:rPr>
              <w:t>1,405 </w:t>
            </w:r>
            <w:r>
              <w:rPr>
                <w:spacing w:val="-8"/>
              </w:rPr>
              <w:sym w:font="Symbol" w:char="F0D7"/>
            </w:r>
            <w:r>
              <w:rPr>
                <w:spacing w:val="-8"/>
              </w:rPr>
              <w:t> 10</w:t>
            </w:r>
            <w:r>
              <w:rPr>
                <w:spacing w:val="-8"/>
                <w:vertAlign w:val="superscript"/>
              </w:rPr>
              <w:t xml:space="preserve">10 </w:t>
            </w:r>
            <w:r>
              <w:rPr>
                <w:spacing w:val="-8"/>
              </w:rPr>
              <w:t>лет</w:t>
            </w:r>
          </w:p>
        </w:tc>
        <w:tc>
          <w:tcPr>
            <w:tcW w:w="1134" w:type="dxa"/>
            <w:gridSpan w:val="2"/>
          </w:tcPr>
          <w:p w14:paraId="36C45881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1588" w:type="dxa"/>
            <w:gridSpan w:val="4"/>
          </w:tcPr>
          <w:p w14:paraId="258427AE" w14:textId="77777777" w:rsidR="00344A08" w:rsidRDefault="00344A08">
            <w:pPr>
              <w:pStyle w:val="Tablleft"/>
              <w:jc w:val="center"/>
            </w:pPr>
            <w:r>
              <w:t>4,5 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418" w:type="dxa"/>
            <w:gridSpan w:val="2"/>
          </w:tcPr>
          <w:p w14:paraId="59F2F761" w14:textId="77777777" w:rsidR="00344A08" w:rsidRDefault="00344A08">
            <w:pPr>
              <w:pStyle w:val="Tablleft"/>
              <w:jc w:val="center"/>
            </w:pPr>
            <w:r>
              <w:t>4,5 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-5</w:t>
            </w:r>
          </w:p>
        </w:tc>
      </w:tr>
      <w:tr w:rsidR="00344A08" w14:paraId="041AA701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1" w:type="dxa"/>
          <w:wAfter w:w="121" w:type="dxa"/>
          <w:jc w:val="center"/>
        </w:trPr>
        <w:tc>
          <w:tcPr>
            <w:tcW w:w="1021" w:type="dxa"/>
            <w:gridSpan w:val="2"/>
          </w:tcPr>
          <w:p w14:paraId="513AAFC0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228</w:t>
            </w:r>
            <w:r>
              <w:t>Ra</w:t>
            </w:r>
          </w:p>
        </w:tc>
        <w:tc>
          <w:tcPr>
            <w:tcW w:w="1077" w:type="dxa"/>
            <w:gridSpan w:val="3"/>
          </w:tcPr>
          <w:p w14:paraId="53754372" w14:textId="77777777" w:rsidR="00344A08" w:rsidRDefault="00344A08">
            <w:pPr>
              <w:pStyle w:val="Tablleft"/>
              <w:jc w:val="center"/>
            </w:pPr>
            <w:r>
              <w:t>5,75 лет</w:t>
            </w:r>
          </w:p>
        </w:tc>
        <w:tc>
          <w:tcPr>
            <w:tcW w:w="1134" w:type="dxa"/>
            <w:gridSpan w:val="2"/>
          </w:tcPr>
          <w:p w14:paraId="54A95F6E" w14:textId="77777777" w:rsidR="00344A08" w:rsidRDefault="00344A08">
            <w:pPr>
              <w:pStyle w:val="Tablleft"/>
              <w:jc w:val="center"/>
            </w:pPr>
            <w:r>
              <w:sym w:font="Symbol" w:char="F062"/>
            </w:r>
          </w:p>
        </w:tc>
        <w:tc>
          <w:tcPr>
            <w:tcW w:w="1588" w:type="dxa"/>
            <w:gridSpan w:val="4"/>
          </w:tcPr>
          <w:p w14:paraId="00BED1D6" w14:textId="77777777" w:rsidR="00344A08" w:rsidRDefault="00344A08">
            <w:pPr>
              <w:pStyle w:val="Tablleft"/>
              <w:jc w:val="center"/>
            </w:pPr>
            <w:r>
              <w:t>2,6 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8" w:type="dxa"/>
            <w:gridSpan w:val="2"/>
          </w:tcPr>
          <w:p w14:paraId="3384AE2C" w14:textId="77777777" w:rsidR="00344A08" w:rsidRDefault="00344A08">
            <w:pPr>
              <w:pStyle w:val="Tablleft"/>
              <w:jc w:val="center"/>
            </w:pPr>
            <w:r>
              <w:t>1,6 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-5</w:t>
            </w:r>
          </w:p>
        </w:tc>
      </w:tr>
      <w:tr w:rsidR="00344A08" w14:paraId="65F7ED3C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1" w:type="dxa"/>
          <w:wAfter w:w="121" w:type="dxa"/>
          <w:jc w:val="center"/>
        </w:trPr>
        <w:tc>
          <w:tcPr>
            <w:tcW w:w="1021" w:type="dxa"/>
            <w:gridSpan w:val="2"/>
          </w:tcPr>
          <w:p w14:paraId="0D858840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1077" w:type="dxa"/>
            <w:gridSpan w:val="3"/>
          </w:tcPr>
          <w:p w14:paraId="56C8C7E4" w14:textId="77777777" w:rsidR="00344A08" w:rsidRDefault="00344A08">
            <w:pPr>
              <w:pStyle w:val="Tablleft"/>
              <w:jc w:val="center"/>
            </w:pPr>
            <w:r>
              <w:t>6,15 час</w:t>
            </w:r>
          </w:p>
        </w:tc>
        <w:tc>
          <w:tcPr>
            <w:tcW w:w="1134" w:type="dxa"/>
            <w:gridSpan w:val="2"/>
          </w:tcPr>
          <w:p w14:paraId="6FA966B4" w14:textId="77777777" w:rsidR="00344A08" w:rsidRDefault="00344A08">
            <w:pPr>
              <w:pStyle w:val="Tablleft"/>
              <w:jc w:val="center"/>
            </w:pPr>
            <w:r>
              <w:sym w:font="Symbol" w:char="F062"/>
            </w:r>
          </w:p>
        </w:tc>
        <w:tc>
          <w:tcPr>
            <w:tcW w:w="1588" w:type="dxa"/>
            <w:gridSpan w:val="4"/>
          </w:tcPr>
          <w:p w14:paraId="50D60D10" w14:textId="77777777" w:rsidR="00344A08" w:rsidRDefault="00344A08">
            <w:pPr>
              <w:pStyle w:val="Tablleft"/>
              <w:jc w:val="center"/>
            </w:pPr>
            <w:r>
              <w:t>1,7 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418" w:type="dxa"/>
            <w:gridSpan w:val="2"/>
          </w:tcPr>
          <w:p w14:paraId="3EBFFA73" w14:textId="77777777" w:rsidR="00344A08" w:rsidRDefault="00344A08">
            <w:pPr>
              <w:pStyle w:val="Tablleft"/>
              <w:jc w:val="center"/>
            </w:pPr>
            <w:r>
              <w:t>1,7 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</w:tr>
      <w:tr w:rsidR="00344A08" w14:paraId="59635242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1" w:type="dxa"/>
          <w:wAfter w:w="121" w:type="dxa"/>
          <w:jc w:val="center"/>
        </w:trPr>
        <w:tc>
          <w:tcPr>
            <w:tcW w:w="1021" w:type="dxa"/>
            <w:gridSpan w:val="2"/>
          </w:tcPr>
          <w:p w14:paraId="7355005E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228</w:t>
            </w:r>
            <w:r>
              <w:t>Th</w:t>
            </w:r>
          </w:p>
        </w:tc>
        <w:tc>
          <w:tcPr>
            <w:tcW w:w="1077" w:type="dxa"/>
            <w:gridSpan w:val="3"/>
          </w:tcPr>
          <w:p w14:paraId="1EFC13BB" w14:textId="77777777" w:rsidR="00344A08" w:rsidRDefault="00344A08">
            <w:pPr>
              <w:pStyle w:val="Tablleft"/>
              <w:jc w:val="center"/>
            </w:pPr>
            <w:r>
              <w:t>1,913</w:t>
            </w:r>
            <w:r>
              <w:rPr>
                <w:vertAlign w:val="superscript"/>
              </w:rPr>
              <w:t xml:space="preserve"> </w:t>
            </w:r>
            <w:r>
              <w:t>лет</w:t>
            </w:r>
          </w:p>
        </w:tc>
        <w:tc>
          <w:tcPr>
            <w:tcW w:w="1134" w:type="dxa"/>
            <w:gridSpan w:val="2"/>
          </w:tcPr>
          <w:p w14:paraId="478DB0E5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1588" w:type="dxa"/>
            <w:gridSpan w:val="4"/>
          </w:tcPr>
          <w:p w14:paraId="21C8115E" w14:textId="77777777" w:rsidR="00344A08" w:rsidRDefault="00344A08">
            <w:pPr>
              <w:pStyle w:val="Tablleft"/>
              <w:jc w:val="center"/>
            </w:pPr>
            <w:r>
              <w:t>3,2 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1418" w:type="dxa"/>
            <w:gridSpan w:val="2"/>
          </w:tcPr>
          <w:p w14:paraId="134F0444" w14:textId="77777777" w:rsidR="00344A08" w:rsidRDefault="00344A08">
            <w:pPr>
              <w:pStyle w:val="Tablleft"/>
              <w:jc w:val="center"/>
            </w:pPr>
            <w:r>
              <w:t>4,0 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-5</w:t>
            </w:r>
          </w:p>
        </w:tc>
      </w:tr>
      <w:tr w:rsidR="00344A08" w14:paraId="1AAAB89D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1" w:type="dxa"/>
          <w:wAfter w:w="121" w:type="dxa"/>
          <w:jc w:val="center"/>
        </w:trPr>
        <w:tc>
          <w:tcPr>
            <w:tcW w:w="1021" w:type="dxa"/>
            <w:gridSpan w:val="2"/>
          </w:tcPr>
          <w:p w14:paraId="52579899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224</w:t>
            </w:r>
            <w:r>
              <w:t>Ra</w:t>
            </w:r>
          </w:p>
        </w:tc>
        <w:tc>
          <w:tcPr>
            <w:tcW w:w="1077" w:type="dxa"/>
            <w:gridSpan w:val="3"/>
          </w:tcPr>
          <w:p w14:paraId="058611A2" w14:textId="77777777" w:rsidR="00344A08" w:rsidRDefault="00344A08">
            <w:pPr>
              <w:pStyle w:val="Tablleft"/>
            </w:pPr>
            <w:r>
              <w:t>3,66 дней</w:t>
            </w:r>
          </w:p>
        </w:tc>
        <w:tc>
          <w:tcPr>
            <w:tcW w:w="1134" w:type="dxa"/>
            <w:gridSpan w:val="2"/>
          </w:tcPr>
          <w:p w14:paraId="035F247C" w14:textId="77777777" w:rsidR="00344A08" w:rsidRDefault="00344A08">
            <w:pPr>
              <w:pStyle w:val="Tablleft"/>
              <w:jc w:val="center"/>
            </w:pPr>
            <w:r>
              <w:sym w:font="Symbol" w:char="F061"/>
            </w:r>
          </w:p>
        </w:tc>
        <w:tc>
          <w:tcPr>
            <w:tcW w:w="1588" w:type="dxa"/>
            <w:gridSpan w:val="4"/>
          </w:tcPr>
          <w:p w14:paraId="74075819" w14:textId="77777777" w:rsidR="00344A08" w:rsidRDefault="00344A08">
            <w:pPr>
              <w:pStyle w:val="Tablleft"/>
              <w:jc w:val="center"/>
            </w:pPr>
            <w:r>
              <w:t>3,0 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8" w:type="dxa"/>
            <w:gridSpan w:val="2"/>
          </w:tcPr>
          <w:p w14:paraId="58CBB9FB" w14:textId="77777777" w:rsidR="00344A08" w:rsidRDefault="00344A08">
            <w:pPr>
              <w:pStyle w:val="Tablleft"/>
              <w:jc w:val="center"/>
            </w:pPr>
            <w:r>
              <w:t>3,4 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5F01AEB9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1" w:type="dxa"/>
          <w:wAfter w:w="121" w:type="dxa"/>
          <w:jc w:val="center"/>
        </w:trPr>
        <w:tc>
          <w:tcPr>
            <w:tcW w:w="1021" w:type="dxa"/>
            <w:gridSpan w:val="2"/>
          </w:tcPr>
          <w:p w14:paraId="22791E20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212</w:t>
            </w:r>
            <w:r>
              <w:t>Pb</w:t>
            </w:r>
          </w:p>
        </w:tc>
        <w:tc>
          <w:tcPr>
            <w:tcW w:w="1077" w:type="dxa"/>
            <w:gridSpan w:val="3"/>
          </w:tcPr>
          <w:p w14:paraId="1B858938" w14:textId="77777777" w:rsidR="00344A08" w:rsidRDefault="00344A08">
            <w:pPr>
              <w:pStyle w:val="Tablleft"/>
            </w:pPr>
            <w:r>
              <w:t>10,64 час</w:t>
            </w:r>
          </w:p>
        </w:tc>
        <w:tc>
          <w:tcPr>
            <w:tcW w:w="1134" w:type="dxa"/>
            <w:gridSpan w:val="2"/>
          </w:tcPr>
          <w:p w14:paraId="6CEDE9C8" w14:textId="77777777" w:rsidR="00344A08" w:rsidRDefault="00344A08">
            <w:pPr>
              <w:pStyle w:val="Tablleft"/>
              <w:jc w:val="center"/>
            </w:pPr>
            <w:r>
              <w:sym w:font="Symbol" w:char="F062"/>
            </w:r>
          </w:p>
        </w:tc>
        <w:tc>
          <w:tcPr>
            <w:tcW w:w="1588" w:type="dxa"/>
            <w:gridSpan w:val="4"/>
          </w:tcPr>
          <w:p w14:paraId="7E2E7F96" w14:textId="77777777" w:rsidR="00344A08" w:rsidRDefault="00344A08">
            <w:pPr>
              <w:pStyle w:val="Tablleft"/>
              <w:jc w:val="center"/>
            </w:pPr>
            <w:r>
              <w:t>1,7 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  <w:tc>
          <w:tcPr>
            <w:tcW w:w="1418" w:type="dxa"/>
            <w:gridSpan w:val="2"/>
          </w:tcPr>
          <w:p w14:paraId="58E186EA" w14:textId="77777777" w:rsidR="00344A08" w:rsidRDefault="00344A08">
            <w:pPr>
              <w:pStyle w:val="Tablleft"/>
              <w:jc w:val="center"/>
            </w:pPr>
            <w:r>
              <w:t>1,9 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</w:tr>
      <w:tr w:rsidR="00344A08" w14:paraId="77937289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31" w:type="dxa"/>
          <w:wAfter w:w="121" w:type="dxa"/>
          <w:jc w:val="center"/>
        </w:trPr>
        <w:tc>
          <w:tcPr>
            <w:tcW w:w="1021" w:type="dxa"/>
            <w:gridSpan w:val="2"/>
          </w:tcPr>
          <w:p w14:paraId="5E98E8BD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212</w:t>
            </w:r>
            <w:r>
              <w:t>Bi</w:t>
            </w:r>
          </w:p>
        </w:tc>
        <w:tc>
          <w:tcPr>
            <w:tcW w:w="1077" w:type="dxa"/>
            <w:gridSpan w:val="3"/>
          </w:tcPr>
          <w:p w14:paraId="2B258C54" w14:textId="77777777" w:rsidR="00344A08" w:rsidRDefault="00344A08">
            <w:pPr>
              <w:pStyle w:val="Tablleft"/>
            </w:pPr>
            <w:r>
              <w:t>60,55 мин</w:t>
            </w:r>
          </w:p>
        </w:tc>
        <w:tc>
          <w:tcPr>
            <w:tcW w:w="1134" w:type="dxa"/>
            <w:gridSpan w:val="2"/>
          </w:tcPr>
          <w:p w14:paraId="5A853B0B" w14:textId="77777777" w:rsidR="00344A08" w:rsidRDefault="00344A08">
            <w:pPr>
              <w:pStyle w:val="Tablleft"/>
              <w:jc w:val="center"/>
              <w:rPr>
                <w:spacing w:val="-12"/>
              </w:rPr>
            </w:pPr>
            <w:r>
              <w:rPr>
                <w:spacing w:val="-12"/>
              </w:rPr>
              <w:sym w:font="Symbol" w:char="F061"/>
            </w:r>
            <w:r>
              <w:rPr>
                <w:spacing w:val="-12"/>
              </w:rPr>
              <w:t>(36 %);</w:t>
            </w:r>
            <w:r>
              <w:rPr>
                <w:spacing w:val="-12"/>
              </w:rPr>
              <w:sym w:font="Symbol" w:char="F062"/>
            </w:r>
            <w:r>
              <w:rPr>
                <w:spacing w:val="-12"/>
              </w:rPr>
              <w:t>(64 %)</w:t>
            </w:r>
          </w:p>
        </w:tc>
        <w:tc>
          <w:tcPr>
            <w:tcW w:w="1588" w:type="dxa"/>
            <w:gridSpan w:val="4"/>
          </w:tcPr>
          <w:p w14:paraId="44370E9B" w14:textId="77777777" w:rsidR="00344A08" w:rsidRDefault="00344A08">
            <w:pPr>
              <w:pStyle w:val="Tablleft"/>
              <w:jc w:val="center"/>
            </w:pPr>
            <w:r>
              <w:t>3,1 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1418" w:type="dxa"/>
            <w:gridSpan w:val="2"/>
          </w:tcPr>
          <w:p w14:paraId="0F382295" w14:textId="77777777" w:rsidR="00344A08" w:rsidRDefault="00344A08">
            <w:pPr>
              <w:pStyle w:val="Tablleft"/>
              <w:jc w:val="center"/>
            </w:pPr>
            <w:r>
              <w:t>3,1 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</w:tr>
      <w:tr w:rsidR="00344A08" w14:paraId="6ECD5C81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1652" w:type="dxa"/>
          <w:jc w:val="center"/>
        </w:trPr>
        <w:tc>
          <w:tcPr>
            <w:tcW w:w="3232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6E9DEBC0" w14:textId="77777777" w:rsidR="00344A08" w:rsidRDefault="00344A08">
            <w:pPr>
              <w:pStyle w:val="Tablleft"/>
              <w:jc w:val="center"/>
              <w:rPr>
                <w:b/>
              </w:rPr>
            </w:pPr>
            <w:r>
              <w:rPr>
                <w:b/>
              </w:rPr>
              <w:t>Су</w:t>
            </w:r>
            <w:r>
              <w:rPr>
                <w:b/>
              </w:rPr>
              <w:t>м</w:t>
            </w:r>
            <w:r>
              <w:rPr>
                <w:b/>
              </w:rPr>
              <w:t>ма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B6A19DD" w14:textId="77777777" w:rsidR="00344A08" w:rsidRDefault="00344A08">
            <w:pPr>
              <w:pStyle w:val="Tablleft"/>
              <w:jc w:val="center"/>
              <w:rPr>
                <w:b/>
              </w:rPr>
            </w:pPr>
            <w:r>
              <w:rPr>
                <w:b/>
              </w:rPr>
              <w:t>8,28</w:t>
            </w:r>
            <w:r>
              <w:t> </w:t>
            </w:r>
            <w:r>
              <w:sym w:font="Symbol" w:char="F0D7"/>
            </w:r>
            <w:r>
              <w:t> 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-5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06F0986" w14:textId="77777777" w:rsidR="00344A08" w:rsidRDefault="00344A08">
            <w:pPr>
              <w:pStyle w:val="Tablleft"/>
              <w:jc w:val="center"/>
              <w:rPr>
                <w:b/>
              </w:rPr>
            </w:pPr>
            <w:r>
              <w:rPr>
                <w:b/>
              </w:rPr>
              <w:t>10,46</w:t>
            </w:r>
            <w:r>
              <w:t> </w:t>
            </w:r>
            <w:r>
              <w:sym w:font="Symbol" w:char="F0D7"/>
            </w:r>
            <w:r>
              <w:t> 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-5</w:t>
            </w:r>
          </w:p>
        </w:tc>
      </w:tr>
    </w:tbl>
    <w:p w14:paraId="5762A065" w14:textId="77777777" w:rsidR="00344A08" w:rsidRDefault="00344A08">
      <w:pPr>
        <w:pStyle w:val="Tablleft"/>
      </w:pPr>
    </w:p>
    <w:p w14:paraId="7DB0334E" w14:textId="77777777" w:rsidR="00344A08" w:rsidRDefault="00344A08">
      <w:pPr>
        <w:pStyle w:val="tabl"/>
      </w:pPr>
      <w:r>
        <w:rPr>
          <w:sz w:val="24"/>
        </w:rPr>
        <w:br w:type="page"/>
      </w:r>
      <w:r>
        <w:lastRenderedPageBreak/>
        <w:t>Приложение 3</w:t>
      </w:r>
      <w:r>
        <w:br/>
        <w:t>(справочное)</w:t>
      </w:r>
    </w:p>
    <w:p w14:paraId="6BAD37C3" w14:textId="77777777" w:rsidR="00344A08" w:rsidRDefault="00344A08">
      <w:pPr>
        <w:pStyle w:val="Zagpril"/>
      </w:pPr>
      <w:bookmarkStart w:id="14" w:name="_Toc1442122"/>
      <w:r>
        <w:t xml:space="preserve">Дозовые коэффициенты для радионуклидов рядов урана и тория при их ингаляционном поступлении в организм </w:t>
      </w:r>
      <w:r>
        <w:br/>
        <w:t>критической группы [6]</w:t>
      </w:r>
      <w:bookmarkEnd w:id="14"/>
    </w:p>
    <w:p w14:paraId="6F411A90" w14:textId="77777777" w:rsidR="00344A08" w:rsidRDefault="00344A08">
      <w:pPr>
        <w:pStyle w:val="tabl"/>
        <w:spacing w:before="0"/>
      </w:pPr>
      <w:r>
        <w:t>Таблица П 3.1</w:t>
      </w:r>
    </w:p>
    <w:p w14:paraId="2FA507B7" w14:textId="77777777" w:rsidR="00344A08" w:rsidRDefault="00344A08">
      <w:pPr>
        <w:pStyle w:val="TablZag"/>
      </w:pPr>
      <w:r>
        <w:t>Дозовые коэффициенты для отдельных ради</w:t>
      </w:r>
      <w:r>
        <w:t>о</w:t>
      </w:r>
      <w:r>
        <w:t xml:space="preserve">нуклидов ряда </w:t>
      </w:r>
      <w:r>
        <w:rPr>
          <w:vertAlign w:val="superscript"/>
        </w:rPr>
        <w:t>238</w:t>
      </w:r>
      <w:r>
        <w:t>U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2041"/>
        <w:gridCol w:w="2892"/>
      </w:tblGrid>
      <w:tr w:rsidR="00344A08" w14:paraId="4B87829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3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25C5A1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>Радиону</w:t>
            </w:r>
            <w:r>
              <w:t>к</w:t>
            </w:r>
            <w:r>
              <w:t>лид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1B9CA2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>Критическая группа*</w:t>
            </w:r>
          </w:p>
        </w:tc>
        <w:tc>
          <w:tcPr>
            <w:tcW w:w="28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54E950" w14:textId="77777777" w:rsidR="00344A08" w:rsidRDefault="00344A08">
            <w:pPr>
              <w:pStyle w:val="Tablleft"/>
              <w:spacing w:before="60" w:after="60"/>
              <w:jc w:val="center"/>
            </w:pPr>
            <w:r>
              <w:t>Дозовый коэффициент при ингал</w:t>
            </w:r>
            <w:r>
              <w:t>я</w:t>
            </w:r>
            <w:r>
              <w:t>ционном поступлении, Зв/Бк</w:t>
            </w:r>
          </w:p>
        </w:tc>
      </w:tr>
      <w:tr w:rsidR="00344A08" w14:paraId="3315473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9" w:type="dxa"/>
            <w:tcBorders>
              <w:top w:val="nil"/>
            </w:tcBorders>
            <w:vAlign w:val="center"/>
          </w:tcPr>
          <w:p w14:paraId="28A8F315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238</w:t>
            </w:r>
            <w:r>
              <w:t>U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74823083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2892" w:type="dxa"/>
            <w:tcBorders>
              <w:top w:val="nil"/>
            </w:tcBorders>
            <w:vAlign w:val="center"/>
          </w:tcPr>
          <w:p w14:paraId="418C0129" w14:textId="77777777" w:rsidR="00344A08" w:rsidRDefault="00344A08">
            <w:pPr>
              <w:pStyle w:val="Tablleft"/>
              <w:jc w:val="center"/>
            </w:pPr>
            <w:r>
              <w:t>3,4 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4A06541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9" w:type="dxa"/>
            <w:vAlign w:val="center"/>
          </w:tcPr>
          <w:p w14:paraId="52597067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234</w:t>
            </w:r>
            <w:r>
              <w:t>Th</w:t>
            </w:r>
          </w:p>
        </w:tc>
        <w:tc>
          <w:tcPr>
            <w:tcW w:w="2041" w:type="dxa"/>
            <w:vAlign w:val="center"/>
          </w:tcPr>
          <w:p w14:paraId="4C3A0971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2892" w:type="dxa"/>
            <w:vAlign w:val="center"/>
          </w:tcPr>
          <w:p w14:paraId="69890EB6" w14:textId="77777777" w:rsidR="00344A08" w:rsidRDefault="00344A08">
            <w:pPr>
              <w:pStyle w:val="Tablleft"/>
              <w:jc w:val="center"/>
            </w:pPr>
            <w:r>
              <w:t>9,1 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-9</w:t>
            </w:r>
          </w:p>
        </w:tc>
      </w:tr>
      <w:tr w:rsidR="00344A08" w14:paraId="28D100E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9" w:type="dxa"/>
            <w:vAlign w:val="center"/>
          </w:tcPr>
          <w:p w14:paraId="6FD455AF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234</w:t>
            </w:r>
            <w:r>
              <w:t>Pa</w:t>
            </w:r>
          </w:p>
        </w:tc>
        <w:tc>
          <w:tcPr>
            <w:tcW w:w="2041" w:type="dxa"/>
            <w:vAlign w:val="center"/>
          </w:tcPr>
          <w:p w14:paraId="3FE81349" w14:textId="77777777" w:rsidR="00344A08" w:rsidRDefault="00344A08">
            <w:pPr>
              <w:pStyle w:val="Tablleft"/>
              <w:jc w:val="center"/>
            </w:pPr>
            <w:r>
              <w:t>4</w:t>
            </w:r>
          </w:p>
        </w:tc>
        <w:tc>
          <w:tcPr>
            <w:tcW w:w="2892" w:type="dxa"/>
            <w:vAlign w:val="center"/>
          </w:tcPr>
          <w:p w14:paraId="4538A2F9" w14:textId="77777777" w:rsidR="00344A08" w:rsidRDefault="00344A08">
            <w:pPr>
              <w:pStyle w:val="Tablleft"/>
              <w:jc w:val="center"/>
            </w:pPr>
            <w:r>
              <w:t>6,8 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-10</w:t>
            </w:r>
          </w:p>
        </w:tc>
      </w:tr>
      <w:tr w:rsidR="00344A08" w14:paraId="30ED892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9" w:type="dxa"/>
            <w:vAlign w:val="center"/>
          </w:tcPr>
          <w:p w14:paraId="751D4F19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234</w:t>
            </w:r>
            <w:r>
              <w:t>U</w:t>
            </w:r>
          </w:p>
        </w:tc>
        <w:tc>
          <w:tcPr>
            <w:tcW w:w="2041" w:type="dxa"/>
            <w:vAlign w:val="center"/>
          </w:tcPr>
          <w:p w14:paraId="00706B78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2892" w:type="dxa"/>
            <w:vAlign w:val="center"/>
          </w:tcPr>
          <w:p w14:paraId="73D797F5" w14:textId="77777777" w:rsidR="00344A08" w:rsidRDefault="00344A08">
            <w:pPr>
              <w:pStyle w:val="Tablleft"/>
              <w:jc w:val="center"/>
            </w:pPr>
            <w:r>
              <w:t>4,2 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5B1E728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9" w:type="dxa"/>
            <w:vAlign w:val="center"/>
          </w:tcPr>
          <w:p w14:paraId="23B3081D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230</w:t>
            </w:r>
            <w:r>
              <w:t>Th</w:t>
            </w:r>
          </w:p>
        </w:tc>
        <w:tc>
          <w:tcPr>
            <w:tcW w:w="2041" w:type="dxa"/>
            <w:vAlign w:val="center"/>
          </w:tcPr>
          <w:p w14:paraId="264B18CD" w14:textId="77777777" w:rsidR="00344A08" w:rsidRDefault="00344A08">
            <w:pPr>
              <w:pStyle w:val="Tablleft"/>
              <w:jc w:val="center"/>
            </w:pPr>
            <w:r>
              <w:t>6</w:t>
            </w:r>
          </w:p>
        </w:tc>
        <w:tc>
          <w:tcPr>
            <w:tcW w:w="2892" w:type="dxa"/>
            <w:vAlign w:val="center"/>
          </w:tcPr>
          <w:p w14:paraId="2A034944" w14:textId="77777777" w:rsidR="00344A08" w:rsidRDefault="00344A08">
            <w:pPr>
              <w:pStyle w:val="Tablleft"/>
              <w:jc w:val="center"/>
            </w:pPr>
            <w:r>
              <w:t>4,3 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-5</w:t>
            </w:r>
          </w:p>
        </w:tc>
      </w:tr>
      <w:tr w:rsidR="00344A08" w14:paraId="09C2D86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9" w:type="dxa"/>
            <w:vAlign w:val="center"/>
          </w:tcPr>
          <w:p w14:paraId="3A1D2B38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226</w:t>
            </w:r>
            <w:r>
              <w:t>Ra</w:t>
            </w:r>
          </w:p>
        </w:tc>
        <w:tc>
          <w:tcPr>
            <w:tcW w:w="2041" w:type="dxa"/>
            <w:vAlign w:val="center"/>
          </w:tcPr>
          <w:p w14:paraId="0C0FCC54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2892" w:type="dxa"/>
            <w:vAlign w:val="center"/>
          </w:tcPr>
          <w:p w14:paraId="551E62D8" w14:textId="77777777" w:rsidR="00344A08" w:rsidRDefault="00344A08">
            <w:pPr>
              <w:pStyle w:val="Tablleft"/>
              <w:jc w:val="center"/>
            </w:pPr>
            <w:r>
              <w:t>4,5 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6D43EF1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9" w:type="dxa"/>
            <w:vAlign w:val="center"/>
          </w:tcPr>
          <w:p w14:paraId="12F3C7E6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214</w:t>
            </w:r>
            <w:r>
              <w:t>Pb</w:t>
            </w:r>
          </w:p>
        </w:tc>
        <w:tc>
          <w:tcPr>
            <w:tcW w:w="2041" w:type="dxa"/>
            <w:vAlign w:val="center"/>
          </w:tcPr>
          <w:p w14:paraId="2D48810C" w14:textId="77777777" w:rsidR="00344A08" w:rsidRDefault="00344A08">
            <w:pPr>
              <w:pStyle w:val="Tablleft"/>
              <w:jc w:val="center"/>
            </w:pPr>
            <w:r>
              <w:t>6</w:t>
            </w:r>
          </w:p>
        </w:tc>
        <w:tc>
          <w:tcPr>
            <w:tcW w:w="2892" w:type="dxa"/>
            <w:vAlign w:val="center"/>
          </w:tcPr>
          <w:p w14:paraId="518B6F91" w14:textId="77777777" w:rsidR="00344A08" w:rsidRDefault="00344A08">
            <w:pPr>
              <w:pStyle w:val="Tablleft"/>
              <w:jc w:val="center"/>
            </w:pPr>
            <w:r>
              <w:t>1,4 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</w:tr>
      <w:tr w:rsidR="00344A08" w14:paraId="4525CF9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9" w:type="dxa"/>
            <w:vAlign w:val="center"/>
          </w:tcPr>
          <w:p w14:paraId="6237D790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214</w:t>
            </w:r>
            <w:r>
              <w:t>Bi</w:t>
            </w:r>
          </w:p>
        </w:tc>
        <w:tc>
          <w:tcPr>
            <w:tcW w:w="2041" w:type="dxa"/>
            <w:vAlign w:val="center"/>
          </w:tcPr>
          <w:p w14:paraId="13558E8D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2892" w:type="dxa"/>
            <w:vAlign w:val="center"/>
          </w:tcPr>
          <w:p w14:paraId="544A6587" w14:textId="77777777" w:rsidR="00344A08" w:rsidRDefault="00344A08">
            <w:pPr>
              <w:pStyle w:val="Tablleft"/>
              <w:jc w:val="center"/>
            </w:pPr>
            <w:r>
              <w:t>1,7 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-8</w:t>
            </w:r>
          </w:p>
        </w:tc>
      </w:tr>
      <w:tr w:rsidR="00344A08" w14:paraId="01B6282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9" w:type="dxa"/>
            <w:vAlign w:val="center"/>
          </w:tcPr>
          <w:p w14:paraId="569AEFF6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210</w:t>
            </w:r>
            <w:r>
              <w:t>Pb</w:t>
            </w:r>
          </w:p>
        </w:tc>
        <w:tc>
          <w:tcPr>
            <w:tcW w:w="2041" w:type="dxa"/>
            <w:vAlign w:val="center"/>
          </w:tcPr>
          <w:p w14:paraId="10F48B1C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2892" w:type="dxa"/>
            <w:vAlign w:val="center"/>
          </w:tcPr>
          <w:p w14:paraId="10896361" w14:textId="77777777" w:rsidR="00344A08" w:rsidRDefault="00344A08">
            <w:pPr>
              <w:pStyle w:val="Tablleft"/>
              <w:jc w:val="center"/>
            </w:pPr>
            <w:r>
              <w:t>1,3 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55F4119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9" w:type="dxa"/>
            <w:vAlign w:val="center"/>
          </w:tcPr>
          <w:p w14:paraId="44301912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210</w:t>
            </w:r>
            <w:r>
              <w:t>Bi</w:t>
            </w:r>
          </w:p>
        </w:tc>
        <w:tc>
          <w:tcPr>
            <w:tcW w:w="2041" w:type="dxa"/>
            <w:vAlign w:val="center"/>
          </w:tcPr>
          <w:p w14:paraId="043E8F67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2892" w:type="dxa"/>
            <w:vAlign w:val="center"/>
          </w:tcPr>
          <w:p w14:paraId="6F100DF3" w14:textId="77777777" w:rsidR="00344A08" w:rsidRDefault="00344A08">
            <w:pPr>
              <w:pStyle w:val="Tablleft"/>
              <w:jc w:val="center"/>
            </w:pPr>
            <w:r>
              <w:t>1,1 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-7</w:t>
            </w:r>
          </w:p>
        </w:tc>
      </w:tr>
      <w:tr w:rsidR="00344A08" w14:paraId="0BA2B20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19" w:type="dxa"/>
            <w:vAlign w:val="center"/>
          </w:tcPr>
          <w:p w14:paraId="0F52F645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210</w:t>
            </w:r>
            <w:r>
              <w:t>Po</w:t>
            </w:r>
          </w:p>
        </w:tc>
        <w:tc>
          <w:tcPr>
            <w:tcW w:w="2041" w:type="dxa"/>
            <w:vAlign w:val="center"/>
          </w:tcPr>
          <w:p w14:paraId="7CBE5B94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2892" w:type="dxa"/>
            <w:vAlign w:val="center"/>
          </w:tcPr>
          <w:p w14:paraId="2DCC248B" w14:textId="77777777" w:rsidR="00344A08" w:rsidRDefault="00344A08">
            <w:pPr>
              <w:pStyle w:val="Tablleft"/>
              <w:jc w:val="center"/>
            </w:pPr>
            <w:r>
              <w:t>4,0 </w:t>
            </w:r>
            <w:r>
              <w:sym w:font="Symbol" w:char="F0D7"/>
            </w:r>
            <w:r>
              <w:t> 10</w:t>
            </w:r>
            <w:r>
              <w:rPr>
                <w:vertAlign w:val="superscript"/>
              </w:rPr>
              <w:t>-6</w:t>
            </w:r>
          </w:p>
        </w:tc>
      </w:tr>
      <w:tr w:rsidR="00344A08" w14:paraId="664C743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52" w:type="dxa"/>
            <w:gridSpan w:val="3"/>
          </w:tcPr>
          <w:p w14:paraId="7B938B1B" w14:textId="77777777" w:rsidR="00344A08" w:rsidRDefault="00344A08">
            <w:pPr>
              <w:pStyle w:val="Tablleft"/>
              <w:jc w:val="both"/>
            </w:pPr>
            <w:r>
              <w:rPr>
                <w:b/>
              </w:rPr>
              <w:t>Примечание.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>
              <w:rPr>
                <w:i/>
              </w:rPr>
              <w:t>Критические группы приняты в соответствии с НРБ-99.</w:t>
            </w:r>
          </w:p>
        </w:tc>
      </w:tr>
    </w:tbl>
    <w:p w14:paraId="1E13EB27" w14:textId="77777777" w:rsidR="00344A08" w:rsidRDefault="00344A08">
      <w:pPr>
        <w:pStyle w:val="tabl"/>
        <w:spacing w:before="180"/>
      </w:pPr>
      <w:r>
        <w:t>Таблица П 3.2</w:t>
      </w:r>
    </w:p>
    <w:p w14:paraId="7D310A56" w14:textId="77777777" w:rsidR="00344A08" w:rsidRDefault="00344A08">
      <w:pPr>
        <w:pStyle w:val="TablZag"/>
      </w:pPr>
      <w:r>
        <w:t>Дозовые коэффициенты для отдельных ради</w:t>
      </w:r>
      <w:r>
        <w:t>о</w:t>
      </w:r>
      <w:r>
        <w:t xml:space="preserve">нуклидов ряда </w:t>
      </w:r>
      <w:r>
        <w:rPr>
          <w:vertAlign w:val="superscript"/>
        </w:rPr>
        <w:t>232</w:t>
      </w:r>
      <w:r>
        <w:t>Th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041"/>
        <w:gridCol w:w="2892"/>
      </w:tblGrid>
      <w:tr w:rsidR="00344A08" w14:paraId="04D689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6676E8" w14:textId="77777777" w:rsidR="00344A08" w:rsidRDefault="00344A0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Радиону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лид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EC9140" w14:textId="77777777" w:rsidR="00344A08" w:rsidRDefault="00344A08">
            <w:pPr>
              <w:pStyle w:val="5"/>
              <w:spacing w:before="60" w:after="60"/>
              <w:rPr>
                <w:sz w:val="18"/>
              </w:rPr>
            </w:pPr>
            <w:r>
              <w:rPr>
                <w:sz w:val="18"/>
              </w:rPr>
              <w:t>Критическая группа*</w:t>
            </w:r>
          </w:p>
        </w:tc>
        <w:tc>
          <w:tcPr>
            <w:tcW w:w="28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8D1E77" w14:textId="77777777" w:rsidR="00344A08" w:rsidRDefault="00344A0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Дозовый коэффициент при ингал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ционном поступл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нии, Зв/Бк</w:t>
            </w:r>
          </w:p>
        </w:tc>
      </w:tr>
      <w:tr w:rsidR="00344A08" w14:paraId="3ABB02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</w:tcBorders>
          </w:tcPr>
          <w:p w14:paraId="35613963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232</w:t>
            </w:r>
            <w:r>
              <w:t>Th</w:t>
            </w:r>
          </w:p>
        </w:tc>
        <w:tc>
          <w:tcPr>
            <w:tcW w:w="2041" w:type="dxa"/>
            <w:tcBorders>
              <w:top w:val="nil"/>
            </w:tcBorders>
          </w:tcPr>
          <w:p w14:paraId="6DE35B10" w14:textId="77777777" w:rsidR="00344A08" w:rsidRDefault="00344A08">
            <w:pPr>
              <w:pStyle w:val="Tablleft"/>
              <w:jc w:val="center"/>
            </w:pPr>
            <w:r>
              <w:t>6</w:t>
            </w:r>
          </w:p>
        </w:tc>
        <w:tc>
          <w:tcPr>
            <w:tcW w:w="2892" w:type="dxa"/>
            <w:tcBorders>
              <w:top w:val="nil"/>
            </w:tcBorders>
          </w:tcPr>
          <w:p w14:paraId="46295552" w14:textId="77777777" w:rsidR="00344A08" w:rsidRDefault="00344A08">
            <w:pPr>
              <w:pStyle w:val="Tablleft"/>
              <w:jc w:val="center"/>
            </w:pPr>
            <w:r>
              <w:t>4,5*10</w:t>
            </w:r>
            <w:r>
              <w:rPr>
                <w:vertAlign w:val="superscript"/>
              </w:rPr>
              <w:t>-5</w:t>
            </w:r>
          </w:p>
        </w:tc>
      </w:tr>
      <w:tr w:rsidR="00344A08" w14:paraId="2F6BAC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14:paraId="33686944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228</w:t>
            </w:r>
            <w:r>
              <w:t>Ra</w:t>
            </w:r>
          </w:p>
        </w:tc>
        <w:tc>
          <w:tcPr>
            <w:tcW w:w="2041" w:type="dxa"/>
          </w:tcPr>
          <w:p w14:paraId="479B1EE8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2892" w:type="dxa"/>
          </w:tcPr>
          <w:p w14:paraId="24FD95E1" w14:textId="77777777" w:rsidR="00344A08" w:rsidRDefault="00344A08">
            <w:pPr>
              <w:pStyle w:val="Tablleft"/>
              <w:jc w:val="center"/>
            </w:pPr>
            <w:r>
              <w:t>4,4*10</w:t>
            </w:r>
            <w:r>
              <w:rPr>
                <w:vertAlign w:val="superscript"/>
              </w:rPr>
              <w:t>-6</w:t>
            </w:r>
          </w:p>
        </w:tc>
      </w:tr>
      <w:tr w:rsidR="00344A08" w14:paraId="7BD3FA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14:paraId="50BD344D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2041" w:type="dxa"/>
          </w:tcPr>
          <w:p w14:paraId="058C4844" w14:textId="77777777" w:rsidR="00344A08" w:rsidRDefault="00344A08">
            <w:pPr>
              <w:pStyle w:val="Tablleft"/>
              <w:jc w:val="center"/>
            </w:pPr>
            <w:r>
              <w:t>4</w:t>
            </w:r>
          </w:p>
        </w:tc>
        <w:tc>
          <w:tcPr>
            <w:tcW w:w="2892" w:type="dxa"/>
          </w:tcPr>
          <w:p w14:paraId="71BD0775" w14:textId="77777777" w:rsidR="00344A08" w:rsidRDefault="00344A08">
            <w:pPr>
              <w:pStyle w:val="Tablleft"/>
              <w:jc w:val="center"/>
            </w:pPr>
            <w:r>
              <w:t>2,9*10</w:t>
            </w:r>
            <w:r>
              <w:rPr>
                <w:vertAlign w:val="superscript"/>
              </w:rPr>
              <w:t>-8</w:t>
            </w:r>
          </w:p>
        </w:tc>
      </w:tr>
      <w:tr w:rsidR="00344A08" w14:paraId="13FE46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14:paraId="0E3F03F5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228</w:t>
            </w:r>
            <w:r>
              <w:t>Th</w:t>
            </w:r>
          </w:p>
        </w:tc>
        <w:tc>
          <w:tcPr>
            <w:tcW w:w="2041" w:type="dxa"/>
          </w:tcPr>
          <w:p w14:paraId="22878BAC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2892" w:type="dxa"/>
          </w:tcPr>
          <w:p w14:paraId="45060BC4" w14:textId="77777777" w:rsidR="00344A08" w:rsidRDefault="00344A08">
            <w:pPr>
              <w:pStyle w:val="Tablleft"/>
              <w:jc w:val="center"/>
            </w:pPr>
            <w:r>
              <w:t>4,7*10</w:t>
            </w:r>
            <w:r>
              <w:rPr>
                <w:vertAlign w:val="superscript"/>
              </w:rPr>
              <w:t>-5</w:t>
            </w:r>
          </w:p>
        </w:tc>
      </w:tr>
      <w:tr w:rsidR="00344A08" w14:paraId="502FB2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14:paraId="1CE67695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224</w:t>
            </w:r>
            <w:r>
              <w:t>Ra</w:t>
            </w:r>
          </w:p>
        </w:tc>
        <w:tc>
          <w:tcPr>
            <w:tcW w:w="2041" w:type="dxa"/>
          </w:tcPr>
          <w:p w14:paraId="505FEB4C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2892" w:type="dxa"/>
          </w:tcPr>
          <w:p w14:paraId="0AD2B328" w14:textId="77777777" w:rsidR="00344A08" w:rsidRDefault="00344A08">
            <w:pPr>
              <w:pStyle w:val="Tablleft"/>
              <w:jc w:val="center"/>
            </w:pPr>
            <w:r>
              <w:t>3,7*10</w:t>
            </w:r>
            <w:r>
              <w:rPr>
                <w:vertAlign w:val="superscript"/>
              </w:rPr>
              <w:t>-6</w:t>
            </w:r>
          </w:p>
        </w:tc>
      </w:tr>
      <w:tr w:rsidR="00344A08" w14:paraId="476E70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14:paraId="50D69F09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212</w:t>
            </w:r>
            <w:r>
              <w:t>Pb</w:t>
            </w:r>
          </w:p>
        </w:tc>
        <w:tc>
          <w:tcPr>
            <w:tcW w:w="2041" w:type="dxa"/>
          </w:tcPr>
          <w:p w14:paraId="54A00F49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2892" w:type="dxa"/>
          </w:tcPr>
          <w:p w14:paraId="1B773665" w14:textId="77777777" w:rsidR="00344A08" w:rsidRDefault="00344A08">
            <w:pPr>
              <w:pStyle w:val="Tablleft"/>
              <w:jc w:val="center"/>
            </w:pPr>
            <w:r>
              <w:t>2,2*10</w:t>
            </w:r>
            <w:r>
              <w:rPr>
                <w:vertAlign w:val="superscript"/>
              </w:rPr>
              <w:t>-7</w:t>
            </w:r>
          </w:p>
        </w:tc>
      </w:tr>
      <w:tr w:rsidR="00344A08" w14:paraId="1F33E4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</w:tcPr>
          <w:p w14:paraId="72D02E46" w14:textId="77777777" w:rsidR="00344A08" w:rsidRDefault="00344A08">
            <w:pPr>
              <w:pStyle w:val="Tablleft"/>
              <w:jc w:val="center"/>
            </w:pPr>
            <w:r>
              <w:rPr>
                <w:vertAlign w:val="superscript"/>
              </w:rPr>
              <w:t>212</w:t>
            </w:r>
            <w:r>
              <w:t>Bi</w:t>
            </w:r>
          </w:p>
        </w:tc>
        <w:tc>
          <w:tcPr>
            <w:tcW w:w="2041" w:type="dxa"/>
          </w:tcPr>
          <w:p w14:paraId="378C2B8A" w14:textId="77777777" w:rsidR="00344A08" w:rsidRDefault="00344A08">
            <w:pPr>
              <w:pStyle w:val="Tablleft"/>
              <w:jc w:val="center"/>
            </w:pPr>
            <w:r>
              <w:t>5</w:t>
            </w:r>
          </w:p>
        </w:tc>
        <w:tc>
          <w:tcPr>
            <w:tcW w:w="2892" w:type="dxa"/>
          </w:tcPr>
          <w:p w14:paraId="176F2D91" w14:textId="77777777" w:rsidR="00344A08" w:rsidRDefault="00344A08">
            <w:pPr>
              <w:pStyle w:val="Tablleft"/>
              <w:jc w:val="center"/>
            </w:pPr>
            <w:r>
              <w:t>3,8*10</w:t>
            </w:r>
            <w:r>
              <w:rPr>
                <w:vertAlign w:val="superscript"/>
              </w:rPr>
              <w:t>-8</w:t>
            </w:r>
          </w:p>
        </w:tc>
      </w:tr>
      <w:tr w:rsidR="00344A08" w14:paraId="0F4218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3"/>
          </w:tcPr>
          <w:p w14:paraId="24DB61C2" w14:textId="77777777" w:rsidR="00344A08" w:rsidRDefault="00344A08">
            <w:pPr>
              <w:pStyle w:val="Tablleft"/>
              <w:jc w:val="both"/>
            </w:pPr>
            <w:r>
              <w:rPr>
                <w:b/>
              </w:rPr>
              <w:t>Примечание.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>
              <w:rPr>
                <w:i/>
              </w:rPr>
              <w:t>Критические группы приняты в соответствии с НРБ-99.</w:t>
            </w:r>
          </w:p>
        </w:tc>
      </w:tr>
    </w:tbl>
    <w:p w14:paraId="75AB5774" w14:textId="77777777" w:rsidR="00344A08" w:rsidRDefault="00344A08">
      <w:pPr>
        <w:pStyle w:val="tabl"/>
        <w:spacing w:after="0"/>
      </w:pPr>
      <w:r>
        <w:rPr>
          <w:sz w:val="24"/>
        </w:rPr>
        <w:br w:type="page"/>
      </w:r>
      <w:r>
        <w:lastRenderedPageBreak/>
        <w:t>Приложение 4</w:t>
      </w:r>
    </w:p>
    <w:p w14:paraId="4946E54A" w14:textId="77777777" w:rsidR="00344A08" w:rsidRDefault="00344A08">
      <w:pPr>
        <w:pStyle w:val="bodytext"/>
        <w:jc w:val="right"/>
      </w:pPr>
      <w:r>
        <w:t>(справочное)</w:t>
      </w:r>
    </w:p>
    <w:p w14:paraId="3FD7344E" w14:textId="77777777" w:rsidR="00344A08" w:rsidRDefault="00344A08">
      <w:pPr>
        <w:pStyle w:val="Zagpril"/>
      </w:pPr>
      <w:bookmarkStart w:id="15" w:name="_Toc1442123"/>
      <w:r>
        <w:t xml:space="preserve">Составление представительной выборки </w:t>
      </w:r>
      <w:r w:rsidRPr="00ED5E78">
        <w:br/>
      </w:r>
      <w:r>
        <w:t>обследуемых жилых зданий</w:t>
      </w:r>
      <w:bookmarkEnd w:id="15"/>
    </w:p>
    <w:p w14:paraId="3DFE67CE" w14:textId="77777777" w:rsidR="00344A08" w:rsidRDefault="00344A08">
      <w:pPr>
        <w:pStyle w:val="bodytext"/>
      </w:pPr>
      <w:r>
        <w:t>Достоверность оценки уровней облучения населения в значител</w:t>
      </w:r>
      <w:r>
        <w:t>ь</w:t>
      </w:r>
      <w:r>
        <w:t>ной мере зависит от степени представительности (репрезент</w:t>
      </w:r>
      <w:r>
        <w:t>а</w:t>
      </w:r>
      <w:r>
        <w:t>тивности) выборки обследуемых зданий. Поскольку содержание радона в воздухе помещений и мощность дозы гамма-излучения в них зависит как от ге</w:t>
      </w:r>
      <w:r>
        <w:t>о</w:t>
      </w:r>
      <w:r>
        <w:t>лого-геофизических характеристик мест застройки, так и от строител</w:t>
      </w:r>
      <w:r>
        <w:t>ь</w:t>
      </w:r>
      <w:r>
        <w:t>ных и конструктивных характеристик зданий, представительность в</w:t>
      </w:r>
      <w:r>
        <w:t>ы</w:t>
      </w:r>
      <w:r>
        <w:t>борки, прежде всего, должна быть обеспечена именно по этим характ</w:t>
      </w:r>
      <w:r>
        <w:t>е</w:t>
      </w:r>
      <w:r>
        <w:t>ристикам.</w:t>
      </w:r>
    </w:p>
    <w:p w14:paraId="63E13103" w14:textId="77777777" w:rsidR="00344A08" w:rsidRDefault="00344A08">
      <w:pPr>
        <w:pStyle w:val="bodytext"/>
      </w:pPr>
      <w:r>
        <w:t>Объем выборки обследуемых жилых единиц (квартир и однос</w:t>
      </w:r>
      <w:r>
        <w:t>е</w:t>
      </w:r>
      <w:r>
        <w:t>мейных жилых домов) следует определять из расчета не менее 1</w:t>
      </w:r>
      <w:r>
        <w:rPr>
          <w:lang w:val="en-US"/>
        </w:rPr>
        <w:t> </w:t>
      </w:r>
      <w:r>
        <w:t>% от их общего числа в регионе (районе, населенном пункте). В нас</w:t>
      </w:r>
      <w:r>
        <w:t>е</w:t>
      </w:r>
      <w:r>
        <w:t>ленных пунктах с малым числом жителей плотность выборки следует увелич</w:t>
      </w:r>
      <w:r>
        <w:t>и</w:t>
      </w:r>
      <w:r>
        <w:t>вать в кратное число раз, например, 2, 5, 10 и даже 100 %, исходя из условия, чтобы в каждом населенном пункте по возможности было о</w:t>
      </w:r>
      <w:r>
        <w:t>б</w:t>
      </w:r>
      <w:r>
        <w:t>следовано не менее 20 жилых единиц.</w:t>
      </w:r>
    </w:p>
    <w:p w14:paraId="51221E80" w14:textId="77777777" w:rsidR="00344A08" w:rsidRDefault="00344A08">
      <w:pPr>
        <w:pStyle w:val="bodytext"/>
      </w:pPr>
      <w:r>
        <w:t xml:space="preserve">Геолого-геофизические характеристики мест застройки, </w:t>
      </w:r>
      <w:r>
        <w:rPr>
          <w:spacing w:val="-2"/>
        </w:rPr>
        <w:t>влияю</w:t>
      </w:r>
      <w:r>
        <w:rPr>
          <w:spacing w:val="-2"/>
        </w:rPr>
        <w:softHyphen/>
      </w:r>
      <w:r>
        <w:rPr>
          <w:spacing w:val="-4"/>
        </w:rPr>
        <w:t>щие на содержание радона в воздухе помещений зданий – это объемная акти</w:t>
      </w:r>
      <w:r>
        <w:rPr>
          <w:spacing w:val="-4"/>
        </w:rPr>
        <w:t>в</w:t>
      </w:r>
      <w:r>
        <w:rPr>
          <w:spacing w:val="-4"/>
        </w:rPr>
        <w:t>ность радона в воздухе пор грунта на глубине 0,5</w:t>
      </w:r>
      <w:r w:rsidRPr="00ED5E78">
        <w:rPr>
          <w:spacing w:val="-4"/>
        </w:rPr>
        <w:t>—</w:t>
      </w:r>
      <w:r>
        <w:rPr>
          <w:spacing w:val="-4"/>
        </w:rPr>
        <w:t>1,0</w:t>
      </w:r>
      <w:r>
        <w:rPr>
          <w:spacing w:val="-4"/>
          <w:lang w:val="en-US"/>
        </w:rPr>
        <w:t> </w:t>
      </w:r>
      <w:r>
        <w:rPr>
          <w:spacing w:val="-4"/>
        </w:rPr>
        <w:t>м (кБкм</w:t>
      </w:r>
      <w:r>
        <w:rPr>
          <w:spacing w:val="-4"/>
          <w:vertAlign w:val="superscript"/>
        </w:rPr>
        <w:t>-3</w:t>
      </w:r>
      <w:r>
        <w:rPr>
          <w:spacing w:val="-4"/>
        </w:rPr>
        <w:t>),</w:t>
      </w:r>
      <w:r>
        <w:rPr>
          <w:spacing w:val="-2"/>
        </w:rPr>
        <w:t xml:space="preserve"> </w:t>
      </w:r>
      <w:r>
        <w:rPr>
          <w:spacing w:val="-4"/>
        </w:rPr>
        <w:t>поток радона с поверхности почвы (грунта) (мБк</w:t>
      </w:r>
      <w:r>
        <w:rPr>
          <w:spacing w:val="-4"/>
        </w:rPr>
        <w:sym w:font="Symbol" w:char="F0B4"/>
      </w:r>
      <w:r>
        <w:rPr>
          <w:spacing w:val="-4"/>
        </w:rPr>
        <w:t>с</w:t>
      </w:r>
      <w:r>
        <w:rPr>
          <w:spacing w:val="-4"/>
          <w:vertAlign w:val="superscript"/>
        </w:rPr>
        <w:t>-1</w:t>
      </w:r>
      <w:r>
        <w:rPr>
          <w:spacing w:val="-4"/>
        </w:rPr>
        <w:sym w:font="Symbol" w:char="F0B4"/>
      </w:r>
      <w:r>
        <w:rPr>
          <w:spacing w:val="-4"/>
        </w:rPr>
        <w:t>м</w:t>
      </w:r>
      <w:r>
        <w:rPr>
          <w:spacing w:val="-4"/>
          <w:vertAlign w:val="superscript"/>
        </w:rPr>
        <w:t>-2</w:t>
      </w:r>
      <w:r>
        <w:rPr>
          <w:spacing w:val="-4"/>
        </w:rPr>
        <w:t>),</w:t>
      </w:r>
      <w:r>
        <w:rPr>
          <w:spacing w:val="-2"/>
        </w:rPr>
        <w:t xml:space="preserve"> зоны геол</w:t>
      </w:r>
      <w:r>
        <w:rPr>
          <w:spacing w:val="-2"/>
        </w:rPr>
        <w:t>о</w:t>
      </w:r>
      <w:r>
        <w:rPr>
          <w:spacing w:val="-2"/>
        </w:rPr>
        <w:t>гических разломов. Если такая информация имеется, то проводится оконтуривание зон с низкой, средней и высокой потенциальной радоноопасностью. Оц</w:t>
      </w:r>
      <w:r>
        <w:rPr>
          <w:spacing w:val="-2"/>
        </w:rPr>
        <w:t>е</w:t>
      </w:r>
      <w:r>
        <w:rPr>
          <w:spacing w:val="-2"/>
        </w:rPr>
        <w:t>нивается число жителей в каждой из зон. Число обследуемых жилых ед</w:t>
      </w:r>
      <w:r>
        <w:rPr>
          <w:spacing w:val="-2"/>
        </w:rPr>
        <w:t>и</w:t>
      </w:r>
      <w:r>
        <w:rPr>
          <w:spacing w:val="-2"/>
        </w:rPr>
        <w:t>ниц в этих зонах принимается пропорци</w:t>
      </w:r>
      <w:r>
        <w:rPr>
          <w:spacing w:val="-2"/>
        </w:rPr>
        <w:t>о</w:t>
      </w:r>
      <w:r>
        <w:rPr>
          <w:spacing w:val="-2"/>
        </w:rPr>
        <w:t>нальным числу жителей в них.</w:t>
      </w:r>
    </w:p>
    <w:p w14:paraId="24F8E93F" w14:textId="77777777" w:rsidR="00344A08" w:rsidRDefault="00344A08">
      <w:pPr>
        <w:pStyle w:val="bodytext"/>
      </w:pPr>
      <w:r>
        <w:t>При отсутствии или низкой достоверности информации о радиац</w:t>
      </w:r>
      <w:r>
        <w:t>и</w:t>
      </w:r>
      <w:r>
        <w:t>онных и геолого-геофизических характеристиках мест з</w:t>
      </w:r>
      <w:r>
        <w:t>а</w:t>
      </w:r>
      <w:r>
        <w:t>стройки, число обследуемых жилых единиц принимается пропо</w:t>
      </w:r>
      <w:r>
        <w:t>р</w:t>
      </w:r>
      <w:r>
        <w:t>циональным числу жителей в каждом районе, микрорайоне и т. д.</w:t>
      </w:r>
    </w:p>
    <w:p w14:paraId="7C18DA11" w14:textId="77777777" w:rsidR="00344A08" w:rsidRDefault="00344A08">
      <w:pPr>
        <w:pStyle w:val="bodytext"/>
        <w:sectPr w:rsidR="00344A08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8392" w:h="11907" w:code="11"/>
          <w:pgMar w:top="1418" w:right="1077" w:bottom="1418" w:left="1077" w:header="964" w:footer="964" w:gutter="0"/>
          <w:cols w:space="720"/>
          <w:titlePg/>
        </w:sectPr>
      </w:pPr>
      <w:r>
        <w:t>Из строительных и конструктивных характеристик зданий, кот</w:t>
      </w:r>
      <w:r>
        <w:t>о</w:t>
      </w:r>
      <w:r>
        <w:t>рые могут влиять на содержание радона в воздухе помещений, при с</w:t>
      </w:r>
      <w:r>
        <w:t>о</w:t>
      </w:r>
      <w:r>
        <w:t>ставлении представительной выборки жилых единиц в пе</w:t>
      </w:r>
      <w:r>
        <w:t>р</w:t>
      </w:r>
      <w:r>
        <w:t>вую очередь необходимо учитывать этажность здания, тип меж</w:t>
      </w:r>
      <w:r>
        <w:t>э</w:t>
      </w:r>
      <w:r>
        <w:t>тажных перекрытий (деревянные, бетонные), наличие подвалов под зданием и др. С учетом этих характеристик в городах и населенных пунктах следует выделять несколько основных типов зданий и</w:t>
      </w:r>
      <w:r w:rsidR="00AC211E" w:rsidRPr="00AC211E">
        <w:t xml:space="preserve"> </w:t>
      </w:r>
      <w:r w:rsidR="00AC211E">
        <w:t>оценивать</w:t>
      </w:r>
      <w:r w:rsidR="00AC211E" w:rsidRPr="00AC211E">
        <w:t xml:space="preserve"> </w:t>
      </w:r>
      <w:r w:rsidR="00AC211E">
        <w:t>число</w:t>
      </w:r>
      <w:r w:rsidR="00AC211E" w:rsidRPr="00AC211E">
        <w:t xml:space="preserve"> </w:t>
      </w:r>
      <w:r w:rsidR="00AC211E">
        <w:t>жителей</w:t>
      </w:r>
      <w:r w:rsidR="00AC211E" w:rsidRPr="00AC211E">
        <w:t xml:space="preserve"> </w:t>
      </w:r>
      <w:r w:rsidR="00AC211E">
        <w:t xml:space="preserve">в     </w:t>
      </w:r>
    </w:p>
    <w:p w14:paraId="6072C99E" w14:textId="77777777" w:rsidR="00344A08" w:rsidRDefault="00344A08">
      <w:pPr>
        <w:pStyle w:val="bodytext"/>
        <w:ind w:firstLine="0"/>
      </w:pPr>
      <w:r>
        <w:lastRenderedPageBreak/>
        <w:t>каждом типе зданий. Число обследуемых жилых единиц в</w:t>
      </w:r>
      <w:r>
        <w:t>ы</w:t>
      </w:r>
      <w:r>
        <w:t>бирается пропорционально числу жителей в здании данного типа. Ра</w:t>
      </w:r>
      <w:r>
        <w:t>с</w:t>
      </w:r>
      <w:r>
        <w:t>пределение обследуемых жилых единиц по этажам многоэтажных зд</w:t>
      </w:r>
      <w:r>
        <w:t>а</w:t>
      </w:r>
      <w:r>
        <w:t>ний также должно быть пропорционально числу жителей, прож</w:t>
      </w:r>
      <w:r>
        <w:t>и</w:t>
      </w:r>
      <w:r>
        <w:t>вающих на этих этажах.</w:t>
      </w:r>
    </w:p>
    <w:p w14:paraId="2EAD8D96" w14:textId="77777777" w:rsidR="00344A08" w:rsidRDefault="00344A08">
      <w:pPr>
        <w:pStyle w:val="bodytext"/>
      </w:pPr>
      <w:r>
        <w:t>Если в населенном пункте или городе имеются здания, построе</w:t>
      </w:r>
      <w:r>
        <w:t>н</w:t>
      </w:r>
      <w:r>
        <w:t>ные с использованием строительных материалов с высоким содержан</w:t>
      </w:r>
      <w:r>
        <w:t>и</w:t>
      </w:r>
      <w:r>
        <w:t>ем природных радионуклидов, или эти материалы использовались для з</w:t>
      </w:r>
      <w:r>
        <w:t>а</w:t>
      </w:r>
      <w:r>
        <w:t>сыпки межэтажных перекрытий, то такие здания следует выделить в о</w:t>
      </w:r>
      <w:r>
        <w:t>т</w:t>
      </w:r>
      <w:r>
        <w:t>дельный тип обследуемых объектов (зданий).</w:t>
      </w:r>
    </w:p>
    <w:p w14:paraId="531D8F81" w14:textId="77777777" w:rsidR="00344A08" w:rsidRPr="00AC211E" w:rsidRDefault="00344A08" w:rsidP="00AC211E">
      <w:pPr>
        <w:pStyle w:val="bodytext"/>
      </w:pPr>
    </w:p>
    <w:p w14:paraId="301723CD" w14:textId="77777777" w:rsidR="00344A08" w:rsidRDefault="00344A08" w:rsidP="00AC211E">
      <w:pPr>
        <w:pStyle w:val="bodytext"/>
      </w:pPr>
    </w:p>
    <w:sectPr w:rsidR="00344A08">
      <w:headerReference w:type="even" r:id="rId58"/>
      <w:footerReference w:type="even" r:id="rId59"/>
      <w:headerReference w:type="first" r:id="rId60"/>
      <w:footerReference w:type="first" r:id="rId61"/>
      <w:pgSz w:w="8392" w:h="11907" w:code="11"/>
      <w:pgMar w:top="1418" w:right="1021" w:bottom="1418" w:left="1077" w:header="96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4690D" w14:textId="77777777" w:rsidR="00344A08" w:rsidRDefault="00344A08">
      <w:r>
        <w:separator/>
      </w:r>
    </w:p>
  </w:endnote>
  <w:endnote w:type="continuationSeparator" w:id="0">
    <w:p w14:paraId="7F16F1E4" w14:textId="77777777" w:rsidR="00344A08" w:rsidRDefault="0034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1931B" w14:textId="77777777" w:rsidR="00344A08" w:rsidRDefault="00344A0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BB476" w14:textId="77777777" w:rsidR="00AC211E" w:rsidRDefault="00AC211E" w:rsidP="00344A0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46E643" w14:textId="77777777" w:rsidR="00AC211E" w:rsidRDefault="00AC211E" w:rsidP="00AC211E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7564" w14:textId="77777777" w:rsidR="00344A08" w:rsidRDefault="00344A08">
    <w:pPr>
      <w:pStyle w:val="a6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27A5" w14:textId="77777777" w:rsidR="00344A08" w:rsidRDefault="00344A0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11E">
      <w:rPr>
        <w:rStyle w:val="a7"/>
        <w:noProof/>
      </w:rPr>
      <w:t>22</w:t>
    </w:r>
    <w:r>
      <w:rPr>
        <w:rStyle w:val="a7"/>
      </w:rPr>
      <w:fldChar w:fldCharType="end"/>
    </w:r>
  </w:p>
  <w:p w14:paraId="7DFBB02A" w14:textId="77777777" w:rsidR="00344A08" w:rsidRDefault="00344A08">
    <w:pPr>
      <w:pStyle w:val="a6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574D" w14:textId="77777777" w:rsidR="00344A08" w:rsidRDefault="00344A08">
    <w:pPr>
      <w:pStyle w:val="a6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C211E">
      <w:rPr>
        <w:rStyle w:val="a7"/>
        <w:noProof/>
      </w:rPr>
      <w:t>21</w:t>
    </w:r>
    <w:r>
      <w:rPr>
        <w:rStyle w:val="a7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A307" w14:textId="77777777" w:rsidR="00344A08" w:rsidRDefault="00344A08">
    <w:pPr>
      <w:pStyle w:val="a6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C211E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7C77" w14:textId="77777777" w:rsidR="00344A08" w:rsidRDefault="00344A08">
    <w:pPr>
      <w:pStyle w:val="a6"/>
      <w:ind w:right="360"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7061" w14:textId="77777777" w:rsidR="00344A08" w:rsidRDefault="00344A0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A49CB" w14:textId="77777777" w:rsidR="00344A08" w:rsidRDefault="00344A08">
      <w:r>
        <w:separator/>
      </w:r>
    </w:p>
  </w:footnote>
  <w:footnote w:type="continuationSeparator" w:id="0">
    <w:p w14:paraId="6A802278" w14:textId="77777777" w:rsidR="00344A08" w:rsidRDefault="00344A08">
      <w:r>
        <w:continuationSeparator/>
      </w:r>
    </w:p>
  </w:footnote>
  <w:footnote w:id="1">
    <w:p w14:paraId="56306F8C" w14:textId="77777777" w:rsidR="00344A08" w:rsidRPr="00ED5E78" w:rsidRDefault="00344A08">
      <w:pPr>
        <w:pStyle w:val="a9"/>
        <w:jc w:val="both"/>
        <w:rPr>
          <w:lang w:val="ru-RU"/>
        </w:rPr>
      </w:pPr>
      <w:r>
        <w:rPr>
          <w:rStyle w:val="aa"/>
        </w:rPr>
        <w:sym w:font="Symbol" w:char="F02A"/>
      </w:r>
      <w:r w:rsidRPr="00ED5E78">
        <w:rPr>
          <w:lang w:val="ru-RU"/>
        </w:rPr>
        <w:t xml:space="preserve"> </w:t>
      </w:r>
      <w:r>
        <w:rPr>
          <w:sz w:val="16"/>
          <w:lang w:val="ru-RU"/>
        </w:rPr>
        <w:t>Для облучения природными источниками излучения людей характерным является более или менее равномерное облучение в течение всей жизни. При стандартной продолжител</w:t>
      </w:r>
      <w:r>
        <w:rPr>
          <w:sz w:val="16"/>
          <w:lang w:val="ru-RU"/>
        </w:rPr>
        <w:t>ь</w:t>
      </w:r>
      <w:r>
        <w:rPr>
          <w:sz w:val="16"/>
          <w:lang w:val="ru-RU"/>
        </w:rPr>
        <w:t>ности жизни 70 лет, оценка средней годовой эффективной дозы внутренн</w:t>
      </w:r>
      <w:r>
        <w:rPr>
          <w:sz w:val="16"/>
          <w:lang w:val="ru-RU"/>
        </w:rPr>
        <w:t>е</w:t>
      </w:r>
      <w:r>
        <w:rPr>
          <w:sz w:val="16"/>
          <w:lang w:val="ru-RU"/>
        </w:rPr>
        <w:t>го облучения взрослых людей, полученная на основе дозовых коэффициентов для взрослых, и рассч</w:t>
      </w:r>
      <w:r>
        <w:rPr>
          <w:sz w:val="16"/>
          <w:lang w:val="ru-RU"/>
        </w:rPr>
        <w:t>и</w:t>
      </w:r>
      <w:r>
        <w:rPr>
          <w:sz w:val="16"/>
          <w:lang w:val="ru-RU"/>
        </w:rPr>
        <w:t>танная с учетом изменения численных значений этих коэффициентов с возрастом челов</w:t>
      </w:r>
      <w:r>
        <w:rPr>
          <w:sz w:val="16"/>
          <w:lang w:val="ru-RU"/>
        </w:rPr>
        <w:t>е</w:t>
      </w:r>
      <w:r>
        <w:rPr>
          <w:sz w:val="16"/>
          <w:lang w:val="ru-RU"/>
        </w:rPr>
        <w:t>ка, отличаются незначительно даже в предположении одинакового потребления проду</w:t>
      </w:r>
      <w:r>
        <w:rPr>
          <w:sz w:val="16"/>
          <w:lang w:val="ru-RU"/>
        </w:rPr>
        <w:t>к</w:t>
      </w:r>
      <w:r>
        <w:rPr>
          <w:sz w:val="16"/>
          <w:lang w:val="ru-RU"/>
        </w:rPr>
        <w:t>тов питания и питьевой воды. С учетом возрастных изм</w:t>
      </w:r>
      <w:r>
        <w:rPr>
          <w:sz w:val="16"/>
          <w:lang w:val="ru-RU"/>
        </w:rPr>
        <w:t>е</w:t>
      </w:r>
      <w:r>
        <w:rPr>
          <w:sz w:val="16"/>
          <w:lang w:val="ru-RU"/>
        </w:rPr>
        <w:t>нений потребления продуктов питания и питьевой воды, эта разница оказывается сущ</w:t>
      </w:r>
      <w:r>
        <w:rPr>
          <w:sz w:val="16"/>
          <w:lang w:val="ru-RU"/>
        </w:rPr>
        <w:t>е</w:t>
      </w:r>
      <w:r>
        <w:rPr>
          <w:sz w:val="16"/>
          <w:lang w:val="ru-RU"/>
        </w:rPr>
        <w:t>ственно меньше.</w:t>
      </w:r>
    </w:p>
  </w:footnote>
  <w:footnote w:id="2">
    <w:p w14:paraId="1B34205C" w14:textId="77777777" w:rsidR="00344A08" w:rsidRPr="00ED5E78" w:rsidRDefault="00344A08">
      <w:pPr>
        <w:pStyle w:val="a9"/>
        <w:jc w:val="both"/>
        <w:rPr>
          <w:lang w:val="ru-RU"/>
        </w:rPr>
      </w:pPr>
      <w:r>
        <w:rPr>
          <w:rStyle w:val="aa"/>
        </w:rPr>
        <w:sym w:font="Symbol" w:char="F02A"/>
      </w:r>
      <w:r>
        <w:rPr>
          <w:rStyle w:val="aa"/>
        </w:rPr>
        <w:sym w:font="Symbol" w:char="F02A"/>
      </w:r>
      <w:r w:rsidRPr="00ED5E78">
        <w:rPr>
          <w:lang w:val="ru-RU"/>
        </w:rPr>
        <w:t xml:space="preserve"> </w:t>
      </w:r>
      <w:r>
        <w:rPr>
          <w:sz w:val="16"/>
          <w:lang w:val="ru-RU"/>
        </w:rPr>
        <w:t>Далее в методических указаниях, если это не требуется по контексту, под эффективн</w:t>
      </w:r>
      <w:r>
        <w:rPr>
          <w:sz w:val="16"/>
          <w:lang w:val="ru-RU"/>
        </w:rPr>
        <w:t>ы</w:t>
      </w:r>
      <w:r>
        <w:rPr>
          <w:sz w:val="16"/>
          <w:lang w:val="ru-RU"/>
        </w:rPr>
        <w:t>ми дозами облучения населения понимается суммарная доза облучения за счет всех пр</w:t>
      </w:r>
      <w:r>
        <w:rPr>
          <w:sz w:val="16"/>
          <w:lang w:val="ru-RU"/>
        </w:rPr>
        <w:t>и</w:t>
      </w:r>
      <w:r>
        <w:rPr>
          <w:sz w:val="16"/>
          <w:lang w:val="ru-RU"/>
        </w:rPr>
        <w:t>родных источников излучения.</w:t>
      </w:r>
    </w:p>
  </w:footnote>
  <w:footnote w:id="3">
    <w:p w14:paraId="39CA1C60" w14:textId="77777777" w:rsidR="00344A08" w:rsidRPr="00ED5E78" w:rsidRDefault="00344A08">
      <w:pPr>
        <w:pStyle w:val="a9"/>
        <w:jc w:val="both"/>
        <w:rPr>
          <w:lang w:val="ru-RU"/>
        </w:rPr>
      </w:pPr>
      <w:r>
        <w:rPr>
          <w:rStyle w:val="aa"/>
        </w:rPr>
        <w:sym w:font="Symbol" w:char="F02A"/>
      </w:r>
      <w:r w:rsidRPr="00ED5E78">
        <w:rPr>
          <w:lang w:val="ru-RU"/>
        </w:rPr>
        <w:t xml:space="preserve"> </w:t>
      </w:r>
      <w:r>
        <w:rPr>
          <w:sz w:val="16"/>
          <w:lang w:val="ru-RU"/>
        </w:rPr>
        <w:t>При наличии достоверной информации о существенном отличии этого соотнош</w:t>
      </w:r>
      <w:r>
        <w:rPr>
          <w:sz w:val="16"/>
          <w:lang w:val="ru-RU"/>
        </w:rPr>
        <w:t>е</w:t>
      </w:r>
      <w:r>
        <w:rPr>
          <w:sz w:val="16"/>
          <w:lang w:val="ru-RU"/>
        </w:rPr>
        <w:t>ния для населения конкретной территории, коэффициенты 0,8 и 0,2 могут быть зам</w:t>
      </w:r>
      <w:r>
        <w:rPr>
          <w:sz w:val="16"/>
          <w:lang w:val="ru-RU"/>
        </w:rPr>
        <w:t>е</w:t>
      </w:r>
      <w:r>
        <w:rPr>
          <w:sz w:val="16"/>
          <w:lang w:val="ru-RU"/>
        </w:rPr>
        <w:t>нены на их реальные значения.</w:t>
      </w:r>
    </w:p>
  </w:footnote>
  <w:footnote w:id="4">
    <w:p w14:paraId="19AF5622" w14:textId="77777777" w:rsidR="00344A08" w:rsidRPr="00ED5E78" w:rsidRDefault="00344A08">
      <w:pPr>
        <w:pStyle w:val="a9"/>
        <w:jc w:val="both"/>
        <w:rPr>
          <w:lang w:val="ru-RU"/>
        </w:rPr>
      </w:pPr>
      <w:r>
        <w:rPr>
          <w:rStyle w:val="aa"/>
        </w:rPr>
        <w:sym w:font="Symbol" w:char="F02A"/>
      </w:r>
      <w:r w:rsidRPr="00ED5E78">
        <w:rPr>
          <w:lang w:val="ru-RU"/>
        </w:rPr>
        <w:t xml:space="preserve"> </w:t>
      </w:r>
      <w:r>
        <w:rPr>
          <w:sz w:val="16"/>
          <w:lang w:val="ru-RU"/>
        </w:rPr>
        <w:t>Численные значения этих коэффициентов рассчитаны для спектров гамма-излу</w:t>
      </w:r>
      <w:r>
        <w:rPr>
          <w:sz w:val="16"/>
          <w:lang w:val="ru-RU"/>
        </w:rPr>
        <w:softHyphen/>
        <w:t>чения природных радионуклидов для случая изотропного облучения людей.</w:t>
      </w:r>
    </w:p>
  </w:footnote>
  <w:footnote w:id="5">
    <w:p w14:paraId="76882639" w14:textId="77777777" w:rsidR="00344A08" w:rsidRPr="00ED5E78" w:rsidRDefault="00344A08">
      <w:pPr>
        <w:pStyle w:val="a9"/>
        <w:spacing w:line="228" w:lineRule="auto"/>
        <w:jc w:val="both"/>
        <w:rPr>
          <w:lang w:val="ru-RU"/>
        </w:rPr>
      </w:pPr>
      <w:r>
        <w:rPr>
          <w:rStyle w:val="aa"/>
        </w:rPr>
        <w:sym w:font="Symbol" w:char="F02A"/>
      </w:r>
      <w:r w:rsidRPr="00ED5E78">
        <w:rPr>
          <w:lang w:val="ru-RU"/>
        </w:rPr>
        <w:t xml:space="preserve"> </w:t>
      </w:r>
      <w:r>
        <w:rPr>
          <w:sz w:val="16"/>
          <w:lang w:val="ru-RU"/>
        </w:rPr>
        <w:t>По формуле (6) рассчитывается вклад всех природных радионуклидов в облучение нас</w:t>
      </w:r>
      <w:r>
        <w:rPr>
          <w:sz w:val="16"/>
          <w:lang w:val="ru-RU"/>
        </w:rPr>
        <w:t>е</w:t>
      </w:r>
      <w:r>
        <w:rPr>
          <w:sz w:val="16"/>
          <w:lang w:val="ru-RU"/>
        </w:rPr>
        <w:t xml:space="preserve">ления за счет питьевой воды, кроме </w:t>
      </w:r>
      <w:r>
        <w:rPr>
          <w:sz w:val="16"/>
          <w:vertAlign w:val="superscript"/>
          <w:lang w:val="ru-RU"/>
        </w:rPr>
        <w:t>222</w:t>
      </w:r>
      <w:r>
        <w:rPr>
          <w:sz w:val="16"/>
          <w:lang w:val="ru-RU"/>
        </w:rPr>
        <w:t>Rn. Критическим путем облучения насел</w:t>
      </w:r>
      <w:r>
        <w:rPr>
          <w:sz w:val="16"/>
          <w:lang w:val="ru-RU"/>
        </w:rPr>
        <w:t>е</w:t>
      </w:r>
      <w:r>
        <w:rPr>
          <w:sz w:val="16"/>
          <w:lang w:val="ru-RU"/>
        </w:rPr>
        <w:t>ния за счет радона, содержащегося в питьевой воде, является переход его в воздух помещений и последующее ингаляционное поступление дочерних продуктов радона в организм. П</w:t>
      </w:r>
      <w:r>
        <w:rPr>
          <w:sz w:val="16"/>
          <w:lang w:val="ru-RU"/>
        </w:rPr>
        <w:t>о</w:t>
      </w:r>
      <w:r>
        <w:rPr>
          <w:sz w:val="16"/>
          <w:lang w:val="ru-RU"/>
        </w:rPr>
        <w:t>этому вклад радона учитывается при определении уровней облучения населения за счет изотопов радона в воздухе помещений.</w:t>
      </w:r>
    </w:p>
  </w:footnote>
  <w:footnote w:id="6">
    <w:p w14:paraId="602F4AAC" w14:textId="77777777" w:rsidR="00344A08" w:rsidRPr="00ED5E78" w:rsidRDefault="00344A08">
      <w:pPr>
        <w:pStyle w:val="a9"/>
        <w:rPr>
          <w:lang w:val="ru-RU"/>
        </w:rPr>
      </w:pPr>
      <w:r>
        <w:rPr>
          <w:rStyle w:val="aa"/>
        </w:rPr>
        <w:sym w:font="Symbol" w:char="F02A"/>
      </w:r>
      <w:r w:rsidRPr="00ED5E78">
        <w:rPr>
          <w:lang w:val="ru-RU"/>
        </w:rPr>
        <w:t xml:space="preserve"> </w:t>
      </w:r>
      <w:r>
        <w:rPr>
          <w:sz w:val="16"/>
          <w:lang w:val="ru-RU"/>
        </w:rPr>
        <w:t>Численные значения дозовых коэффициентов для остальных радионуклидов семе</w:t>
      </w:r>
      <w:r>
        <w:rPr>
          <w:sz w:val="16"/>
          <w:lang w:val="ru-RU"/>
        </w:rPr>
        <w:t>й</w:t>
      </w:r>
      <w:r>
        <w:rPr>
          <w:sz w:val="16"/>
          <w:lang w:val="ru-RU"/>
        </w:rPr>
        <w:t>ства меньше минимального из приведенных в таблице в 10 и более раз.</w:t>
      </w:r>
    </w:p>
  </w:footnote>
  <w:footnote w:id="7">
    <w:p w14:paraId="11508CF7" w14:textId="77777777" w:rsidR="00344A08" w:rsidRPr="00ED5E78" w:rsidRDefault="00344A08">
      <w:pPr>
        <w:pStyle w:val="a9"/>
        <w:rPr>
          <w:lang w:val="ru-RU"/>
        </w:rPr>
      </w:pPr>
      <w:r>
        <w:rPr>
          <w:rStyle w:val="aa"/>
        </w:rPr>
        <w:sym w:font="Symbol" w:char="F02A"/>
      </w:r>
      <w:r w:rsidRPr="00ED5E78">
        <w:rPr>
          <w:lang w:val="ru-RU"/>
        </w:rPr>
        <w:t xml:space="preserve"> </w:t>
      </w:r>
      <w:r>
        <w:rPr>
          <w:sz w:val="16"/>
          <w:lang w:val="ru-RU"/>
        </w:rPr>
        <w:t>Численные значения дозовых коэффициентов для остальных радионуклидов семе</w:t>
      </w:r>
      <w:r>
        <w:rPr>
          <w:sz w:val="16"/>
          <w:lang w:val="ru-RU"/>
        </w:rPr>
        <w:t>й</w:t>
      </w:r>
      <w:r>
        <w:rPr>
          <w:sz w:val="16"/>
          <w:lang w:val="ru-RU"/>
        </w:rPr>
        <w:t>ства меньше минимального из приведенных в таблице в 10 и более раз.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007BC" w14:textId="77777777" w:rsidR="00344A08" w:rsidRDefault="00344A08">
    <w:pPr>
      <w:pStyle w:val="a5"/>
    </w:pPr>
    <w:r>
      <w:t>МУ 2.6.1.1088—02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A8A4" w14:textId="77777777" w:rsidR="00344A08" w:rsidRDefault="00344A08">
    <w:pPr>
      <w:pStyle w:val="a5"/>
      <w:jc w:val="right"/>
    </w:pPr>
    <w:r>
      <w:t>МУ 2.6.1.1088—02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FE4EB" w14:textId="77777777" w:rsidR="00344A08" w:rsidRDefault="00344A08">
    <w:pPr>
      <w:pStyle w:val="a5"/>
      <w:jc w:val="right"/>
    </w:pPr>
    <w:r>
      <w:t>МУ 2.6.1.1088—02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35C9" w14:textId="77777777" w:rsidR="00344A08" w:rsidRDefault="00344A08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BE01" w14:textId="77777777" w:rsidR="00344A08" w:rsidRPr="00AC211E" w:rsidRDefault="00AC211E" w:rsidP="00AC211E">
    <w:pPr>
      <w:pStyle w:val="a5"/>
      <w:jc w:val="right"/>
    </w:pPr>
    <w:r>
      <w:t>МУ 2.6.1.1088—02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A3232"/>
    <w:multiLevelType w:val="singleLevel"/>
    <w:tmpl w:val="31F018B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423"/>
      </w:pPr>
      <w:rPr>
        <w:rFonts w:ascii="Symbol" w:hAnsi="Symbol" w:hint="default"/>
      </w:rPr>
    </w:lvl>
  </w:abstractNum>
  <w:abstractNum w:abstractNumId="2" w15:restartNumberingAfterBreak="0">
    <w:nsid w:val="0F9E5B74"/>
    <w:multiLevelType w:val="singleLevel"/>
    <w:tmpl w:val="99863FEA"/>
    <w:lvl w:ilvl="0">
      <w:start w:val="1"/>
      <w:numFmt w:val="decimal"/>
      <w:lvlText w:val="3.%1."/>
      <w:legacy w:legacy="1" w:legacySpace="0" w:legacyIndent="432"/>
      <w:lvlJc w:val="left"/>
      <w:pPr>
        <w:ind w:left="432" w:hanging="432"/>
      </w:pPr>
    </w:lvl>
  </w:abstractNum>
  <w:abstractNum w:abstractNumId="3" w15:restartNumberingAfterBreak="0">
    <w:nsid w:val="201B6731"/>
    <w:multiLevelType w:val="singleLevel"/>
    <w:tmpl w:val="33ACC050"/>
    <w:lvl w:ilvl="0">
      <w:start w:val="1"/>
      <w:numFmt w:val="bullet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 w:val="0"/>
        <w:i w:val="0"/>
        <w:u w:val="none"/>
      </w:rPr>
    </w:lvl>
  </w:abstractNum>
  <w:abstractNum w:abstractNumId="4" w15:restartNumberingAfterBreak="0">
    <w:nsid w:val="21E17928"/>
    <w:multiLevelType w:val="singleLevel"/>
    <w:tmpl w:val="567AFD6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8254B83"/>
    <w:multiLevelType w:val="singleLevel"/>
    <w:tmpl w:val="39E0BB6C"/>
    <w:lvl w:ilvl="0">
      <w:start w:val="4"/>
      <w:numFmt w:val="decimal"/>
      <w:lvlText w:val="3.%1."/>
      <w:legacy w:legacy="1" w:legacySpace="0" w:legacyIndent="432"/>
      <w:lvlJc w:val="left"/>
      <w:pPr>
        <w:ind w:left="432" w:hanging="432"/>
      </w:pPr>
    </w:lvl>
  </w:abstractNum>
  <w:abstractNum w:abstractNumId="6" w15:restartNumberingAfterBreak="0">
    <w:nsid w:val="2F7C71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5C7053B"/>
    <w:multiLevelType w:val="singleLevel"/>
    <w:tmpl w:val="E7E00386"/>
    <w:lvl w:ilvl="0">
      <w:start w:val="1"/>
      <w:numFmt w:val="bullet"/>
      <w:pStyle w:val="spisok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b w:val="0"/>
        <w:i w:val="0"/>
      </w:rPr>
    </w:lvl>
  </w:abstractNum>
  <w:abstractNum w:abstractNumId="8" w15:restartNumberingAfterBreak="0">
    <w:nsid w:val="57483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88703C3"/>
    <w:multiLevelType w:val="singleLevel"/>
    <w:tmpl w:val="1C5408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5B67538C"/>
    <w:multiLevelType w:val="singleLevel"/>
    <w:tmpl w:val="D0167DF0"/>
    <w:lvl w:ilvl="0">
      <w:start w:val="1"/>
      <w:numFmt w:val="bullet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1" w15:restartNumberingAfterBreak="0">
    <w:nsid w:val="63EE6365"/>
    <w:multiLevelType w:val="singleLevel"/>
    <w:tmpl w:val="EF62118A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6B642F2E"/>
    <w:multiLevelType w:val="singleLevel"/>
    <w:tmpl w:val="877E92FA"/>
    <w:lvl w:ilvl="0">
      <w:start w:val="1"/>
      <w:numFmt w:val="decimal"/>
      <w:lvlText w:val="2.%1."/>
      <w:legacy w:legacy="1" w:legacySpace="0" w:legacyIndent="432"/>
      <w:lvlJc w:val="left"/>
      <w:pPr>
        <w:ind w:left="432" w:hanging="432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504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pPr>
          <w:ind w:left="432" w:hanging="432"/>
        </w:p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1E"/>
    <w:rsid w:val="00344A08"/>
    <w:rsid w:val="00AC211E"/>
    <w:rsid w:val="00E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720E6C0"/>
  <w15:chartTrackingRefBased/>
  <w15:docId w15:val="{0794805B-C22D-4BED-98F1-7F5195EC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1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60" w:after="6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spacing w:line="480" w:lineRule="auto"/>
      <w:jc w:val="center"/>
      <w:outlineLvl w:val="6"/>
    </w:pPr>
    <w:rPr>
      <w: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aliases w:val="Íèæíèé êîëîíòèòóë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spacing w:before="120" w:after="120"/>
      <w:ind w:right="-113"/>
      <w:jc w:val="both"/>
    </w:pPr>
    <w:rPr>
      <w:sz w:val="24"/>
    </w:rPr>
  </w:style>
  <w:style w:type="paragraph" w:styleId="a8">
    <w:name w:val="Body Text Indent"/>
    <w:basedOn w:val="a"/>
    <w:pPr>
      <w:spacing w:line="360" w:lineRule="auto"/>
      <w:ind w:left="289" w:firstLine="709"/>
    </w:pPr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9">
    <w:name w:val="footnote text"/>
    <w:basedOn w:val="a"/>
    <w:semiHidden/>
    <w:rPr>
      <w:lang w:val="en-US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21">
    <w:name w:val="Body Text Indent 2"/>
    <w:basedOn w:val="a"/>
    <w:pPr>
      <w:ind w:firstLine="709"/>
      <w:jc w:val="both"/>
    </w:pPr>
    <w:rPr>
      <w:sz w:val="24"/>
    </w:rPr>
  </w:style>
  <w:style w:type="paragraph" w:styleId="ab">
    <w:name w:val="caption"/>
    <w:basedOn w:val="a"/>
    <w:next w:val="a"/>
    <w:qFormat/>
    <w:pPr>
      <w:spacing w:before="360" w:line="360" w:lineRule="auto"/>
      <w:jc w:val="right"/>
    </w:pPr>
    <w:rPr>
      <w:sz w:val="24"/>
    </w:rPr>
  </w:style>
  <w:style w:type="paragraph" w:styleId="31">
    <w:name w:val="Body Text Indent 3"/>
    <w:basedOn w:val="a"/>
    <w:pPr>
      <w:widowControl w:val="0"/>
      <w:spacing w:before="120"/>
      <w:ind w:firstLine="720"/>
      <w:jc w:val="both"/>
    </w:pPr>
    <w:rPr>
      <w:sz w:val="24"/>
    </w:rPr>
  </w:style>
  <w:style w:type="character" w:styleId="ac">
    <w:name w:val="annotation reference"/>
    <w:basedOn w:val="a0"/>
    <w:semiHidden/>
    <w:rPr>
      <w:sz w:val="16"/>
    </w:rPr>
  </w:style>
  <w:style w:type="paragraph" w:styleId="ad">
    <w:name w:val="annotation text"/>
    <w:basedOn w:val="a"/>
    <w:semiHidden/>
  </w:style>
  <w:style w:type="paragraph" w:customStyle="1" w:styleId="AnnotAutor">
    <w:name w:val="Annot_Autor"/>
    <w:pPr>
      <w:spacing w:before="120"/>
      <w:ind w:left="284" w:right="284" w:hanging="284"/>
    </w:pPr>
  </w:style>
  <w:style w:type="paragraph" w:customStyle="1" w:styleId="AnnotText">
    <w:name w:val="Annot_Text"/>
    <w:pPr>
      <w:ind w:left="284" w:right="283" w:firstLine="283"/>
    </w:pPr>
    <w:rPr>
      <w:sz w:val="17"/>
    </w:rPr>
  </w:style>
  <w:style w:type="paragraph" w:customStyle="1" w:styleId="bodytext">
    <w:name w:val="body_text"/>
    <w:pPr>
      <w:ind w:firstLine="425"/>
      <w:jc w:val="both"/>
    </w:pPr>
  </w:style>
  <w:style w:type="paragraph" w:customStyle="1" w:styleId="Nadtitl">
    <w:name w:val="Nadtitl"/>
    <w:basedOn w:val="bodytext"/>
    <w:next w:val="a"/>
    <w:pPr>
      <w:spacing w:before="180"/>
      <w:ind w:firstLine="0"/>
      <w:jc w:val="center"/>
    </w:pPr>
  </w:style>
  <w:style w:type="paragraph" w:customStyle="1" w:styleId="Podtitl">
    <w:name w:val="Podtitl"/>
    <w:pPr>
      <w:suppressAutoHyphens/>
      <w:jc w:val="center"/>
    </w:pPr>
    <w:rPr>
      <w:b/>
      <w:sz w:val="22"/>
    </w:rPr>
  </w:style>
  <w:style w:type="paragraph" w:customStyle="1" w:styleId="spisok">
    <w:name w:val="spisok"/>
    <w:basedOn w:val="bodytext"/>
    <w:pPr>
      <w:numPr>
        <w:numId w:val="17"/>
      </w:numPr>
      <w:tabs>
        <w:tab w:val="clear" w:pos="757"/>
        <w:tab w:val="left" w:pos="567"/>
      </w:tabs>
      <w:ind w:firstLine="426"/>
    </w:pPr>
  </w:style>
  <w:style w:type="paragraph" w:customStyle="1" w:styleId="tabl">
    <w:name w:val="tabl"/>
    <w:next w:val="a"/>
    <w:pPr>
      <w:spacing w:before="60" w:after="60"/>
      <w:jc w:val="right"/>
    </w:pPr>
    <w:rPr>
      <w:rFonts w:ascii="Arial" w:hAnsi="Arial"/>
      <w:sz w:val="18"/>
    </w:rPr>
  </w:style>
  <w:style w:type="paragraph" w:customStyle="1" w:styleId="TablCenter">
    <w:name w:val="Tabl_Center"/>
    <w:basedOn w:val="bodytext"/>
    <w:pPr>
      <w:spacing w:before="20" w:after="20" w:line="216" w:lineRule="auto"/>
      <w:ind w:firstLine="0"/>
      <w:jc w:val="center"/>
    </w:pPr>
    <w:rPr>
      <w:sz w:val="18"/>
    </w:rPr>
  </w:style>
  <w:style w:type="paragraph" w:customStyle="1" w:styleId="Tablleft">
    <w:name w:val="Tabl_left"/>
    <w:basedOn w:val="TablCenter"/>
    <w:pPr>
      <w:jc w:val="left"/>
    </w:pPr>
  </w:style>
  <w:style w:type="paragraph" w:customStyle="1" w:styleId="TablZag">
    <w:name w:val="Tabl_Zag"/>
    <w:pPr>
      <w:suppressAutoHyphens/>
      <w:spacing w:after="120"/>
      <w:jc w:val="center"/>
    </w:pPr>
    <w:rPr>
      <w:b/>
      <w:sz w:val="18"/>
    </w:rPr>
  </w:style>
  <w:style w:type="paragraph" w:customStyle="1" w:styleId="Titl">
    <w:name w:val="Titl"/>
    <w:basedOn w:val="a"/>
    <w:pPr>
      <w:suppressAutoHyphens/>
      <w:jc w:val="center"/>
    </w:pPr>
    <w:rPr>
      <w:b/>
      <w:sz w:val="32"/>
    </w:rPr>
  </w:style>
  <w:style w:type="paragraph" w:customStyle="1" w:styleId="Zag1">
    <w:name w:val="Zag_1"/>
    <w:basedOn w:val="bodytext"/>
    <w:pPr>
      <w:keepNext/>
      <w:suppressAutoHyphens/>
      <w:spacing w:before="120" w:after="60"/>
      <w:ind w:firstLine="0"/>
      <w:jc w:val="center"/>
    </w:pPr>
    <w:rPr>
      <w:b/>
      <w:noProof/>
      <w:sz w:val="22"/>
    </w:rPr>
  </w:style>
  <w:style w:type="paragraph" w:customStyle="1" w:styleId="Zag2">
    <w:name w:val="Zag_2"/>
    <w:basedOn w:val="bodytext"/>
    <w:pPr>
      <w:keepNext/>
      <w:suppressAutoHyphens/>
      <w:spacing w:before="120" w:after="60"/>
      <w:ind w:firstLine="0"/>
      <w:jc w:val="center"/>
    </w:pPr>
    <w:rPr>
      <w:i/>
    </w:rPr>
  </w:style>
  <w:style w:type="paragraph" w:customStyle="1" w:styleId="Zagpril">
    <w:name w:val="Zag_pril"/>
    <w:basedOn w:val="a"/>
    <w:pPr>
      <w:suppressAutoHyphens/>
      <w:spacing w:before="120" w:after="120"/>
      <w:jc w:val="center"/>
    </w:pPr>
    <w:rPr>
      <w:b/>
      <w:sz w:val="21"/>
    </w:rPr>
  </w:style>
  <w:style w:type="paragraph" w:customStyle="1" w:styleId="ae">
    <w:name w:val="Приборы"/>
    <w:basedOn w:val="bodytext"/>
    <w:pPr>
      <w:ind w:firstLine="0"/>
      <w:jc w:val="left"/>
    </w:pPr>
  </w:style>
  <w:style w:type="paragraph" w:customStyle="1" w:styleId="af">
    <w:name w:val="Примечание"/>
    <w:basedOn w:val="a"/>
    <w:pPr>
      <w:widowControl w:val="0"/>
      <w:ind w:firstLine="425"/>
      <w:jc w:val="both"/>
    </w:pPr>
    <w:rPr>
      <w:i/>
      <w:noProof/>
      <w:sz w:val="18"/>
    </w:rPr>
  </w:style>
  <w:style w:type="paragraph" w:customStyle="1" w:styleId="TitlMarka">
    <w:name w:val="Titl_Marka"/>
    <w:basedOn w:val="a"/>
    <w:pPr>
      <w:widowControl w:val="0"/>
      <w:jc w:val="center"/>
    </w:pPr>
    <w:rPr>
      <w:b/>
      <w:sz w:val="22"/>
    </w:rPr>
  </w:style>
  <w:style w:type="paragraph" w:customStyle="1" w:styleId="BBK">
    <w:name w:val="BBK"/>
    <w:basedOn w:val="a"/>
    <w:pPr>
      <w:pageBreakBefore/>
      <w:spacing w:before="240"/>
    </w:pPr>
  </w:style>
  <w:style w:type="paragraph" w:customStyle="1" w:styleId="ISBN">
    <w:name w:val="ISBN"/>
    <w:basedOn w:val="bodytext"/>
    <w:pPr>
      <w:spacing w:before="240"/>
      <w:ind w:firstLine="567"/>
    </w:pPr>
  </w:style>
  <w:style w:type="paragraph" w:customStyle="1" w:styleId="ISBN0">
    <w:name w:val="ISBN Верх"/>
    <w:basedOn w:val="a"/>
    <w:pPr>
      <w:spacing w:before="240"/>
      <w:ind w:firstLine="567"/>
      <w:jc w:val="both"/>
    </w:pPr>
  </w:style>
  <w:style w:type="paragraph" w:customStyle="1" w:styleId="Copir">
    <w:name w:val="Copir"/>
    <w:basedOn w:val="bodytext"/>
    <w:pPr>
      <w:spacing w:before="240"/>
      <w:ind w:left="3458" w:hanging="198"/>
    </w:pPr>
    <w:rPr>
      <w:sz w:val="17"/>
    </w:rPr>
  </w:style>
  <w:style w:type="paragraph" w:customStyle="1" w:styleId="af0">
    <w:name w:val="Утвержд"/>
    <w:pPr>
      <w:ind w:left="2977"/>
    </w:pPr>
    <w:rPr>
      <w:noProof/>
    </w:rPr>
  </w:style>
  <w:style w:type="paragraph" w:styleId="22">
    <w:name w:val="toc 2"/>
    <w:basedOn w:val="a"/>
    <w:next w:val="a"/>
    <w:autoRedefine/>
    <w:semiHidden/>
    <w:pPr>
      <w:tabs>
        <w:tab w:val="right" w:leader="dot" w:pos="6237"/>
      </w:tabs>
      <w:ind w:left="1276" w:right="426" w:hanging="1276"/>
    </w:pPr>
    <w:rPr>
      <w:sz w:val="18"/>
    </w:rPr>
  </w:style>
  <w:style w:type="paragraph" w:styleId="10">
    <w:name w:val="toc 1"/>
    <w:basedOn w:val="a"/>
    <w:next w:val="a"/>
    <w:autoRedefine/>
    <w:semiHidden/>
    <w:pPr>
      <w:tabs>
        <w:tab w:val="right" w:leader="dot" w:pos="6237"/>
      </w:tabs>
      <w:spacing w:after="60"/>
      <w:ind w:left="198" w:right="1135" w:hanging="198"/>
    </w:pPr>
    <w:rPr>
      <w:noProof/>
      <w:sz w:val="18"/>
    </w:r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0.wmf"/><Relationship Id="rId55" Type="http://schemas.openxmlformats.org/officeDocument/2006/relationships/footer" Target="footer5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header" Target="header2.xml"/><Relationship Id="rId58" Type="http://schemas.openxmlformats.org/officeDocument/2006/relationships/header" Target="header4.xml"/><Relationship Id="rId5" Type="http://schemas.openxmlformats.org/officeDocument/2006/relationships/footnotes" Target="footnotes.xml"/><Relationship Id="rId61" Type="http://schemas.openxmlformats.org/officeDocument/2006/relationships/footer" Target="footer8.xml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header" Target="header3.xml"/><Relationship Id="rId8" Type="http://schemas.openxmlformats.org/officeDocument/2006/relationships/footer" Target="footer2.xml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8.wmf"/><Relationship Id="rId59" Type="http://schemas.openxmlformats.org/officeDocument/2006/relationships/footer" Target="footer7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footer" Target="footer4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footer" Target="footer6.xml"/><Relationship Id="rId10" Type="http://schemas.openxmlformats.org/officeDocument/2006/relationships/image" Target="media/image1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header" Target="header1.xml"/><Relationship Id="rId6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4294</Words>
  <Characters>28806</Characters>
  <Application>Microsoft Office Word</Application>
  <DocSecurity>0</DocSecurity>
  <Lines>240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Государственное санитарно-эпидемиологическое </vt:lpstr>
    </vt:vector>
  </TitlesOfParts>
  <Company>Home</Company>
  <LinksUpToDate>false</LinksUpToDate>
  <CharactersWithSpaces>33034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Государственное санитарно-эпидемиологическое </dc:title>
  <dc:subject/>
  <dc:creator>Иван Стамат</dc:creator>
  <cp:keywords/>
  <dc:description/>
  <cp:lastModifiedBy>Евгений Лагодин</cp:lastModifiedBy>
  <cp:revision>2</cp:revision>
  <cp:lastPrinted>2002-04-08T13:24:00Z</cp:lastPrinted>
  <dcterms:created xsi:type="dcterms:W3CDTF">2020-06-04T13:32:00Z</dcterms:created>
  <dcterms:modified xsi:type="dcterms:W3CDTF">2020-06-04T13:32:00Z</dcterms:modified>
</cp:coreProperties>
</file>